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021" w:rsidRPr="00401575" w:rsidRDefault="00722021" w:rsidP="00722021">
      <w:pPr>
        <w:rPr>
          <w:b/>
          <w:i/>
          <w:color w:val="000000" w:themeColor="text1"/>
          <w:szCs w:val="24"/>
        </w:rPr>
      </w:pPr>
      <w:bookmarkStart w:id="0" w:name="_GoBack"/>
      <w:bookmarkEnd w:id="0"/>
      <w:r w:rsidRPr="00496988">
        <w:rPr>
          <w:color w:val="000000" w:themeColor="text1"/>
          <w:sz w:val="26"/>
          <w:szCs w:val="26"/>
        </w:rPr>
        <w:t>Budžeta un finanšu (nodokļu) komisija</w:t>
      </w:r>
      <w:r w:rsidRPr="00496988">
        <w:rPr>
          <w:color w:val="000000" w:themeColor="text1"/>
          <w:sz w:val="26"/>
          <w:szCs w:val="26"/>
        </w:rPr>
        <w:tab/>
      </w:r>
      <w:r w:rsidR="00401575" w:rsidRPr="00401575">
        <w:rPr>
          <w:b/>
          <w:i/>
          <w:color w:val="000000" w:themeColor="text1"/>
          <w:sz w:val="26"/>
          <w:szCs w:val="26"/>
        </w:rPr>
        <w:t>25.07.2017.</w:t>
      </w:r>
    </w:p>
    <w:p w:rsidR="00722021" w:rsidRPr="00496988" w:rsidRDefault="00722021" w:rsidP="00722021">
      <w:pPr>
        <w:jc w:val="right"/>
        <w:rPr>
          <w:color w:val="000000" w:themeColor="text1"/>
          <w:sz w:val="26"/>
          <w:szCs w:val="26"/>
        </w:rPr>
      </w:pPr>
      <w:r w:rsidRPr="00496988">
        <w:rPr>
          <w:color w:val="000000" w:themeColor="text1"/>
          <w:sz w:val="26"/>
          <w:szCs w:val="26"/>
        </w:rPr>
        <w:t>Likumprojekts (steidzams) otrajam lasījumam</w:t>
      </w:r>
    </w:p>
    <w:p w:rsidR="00722021" w:rsidRDefault="00722021" w:rsidP="00722021">
      <w:pPr>
        <w:jc w:val="center"/>
        <w:rPr>
          <w:b/>
          <w:sz w:val="28"/>
          <w:szCs w:val="28"/>
        </w:rPr>
      </w:pPr>
      <w:r>
        <w:rPr>
          <w:b/>
          <w:sz w:val="28"/>
          <w:szCs w:val="28"/>
        </w:rPr>
        <w:t xml:space="preserve">Grozījumi likumā </w:t>
      </w:r>
      <w:r w:rsidR="0034469C">
        <w:rPr>
          <w:b/>
          <w:sz w:val="28"/>
          <w:szCs w:val="28"/>
        </w:rPr>
        <w:t>“</w:t>
      </w:r>
      <w:r>
        <w:rPr>
          <w:b/>
          <w:sz w:val="28"/>
          <w:szCs w:val="28"/>
        </w:rPr>
        <w:t>Par nodokļiem un nodevām</w:t>
      </w:r>
      <w:r w:rsidR="0034469C">
        <w:rPr>
          <w:b/>
          <w:sz w:val="28"/>
          <w:szCs w:val="28"/>
        </w:rPr>
        <w:t>”</w:t>
      </w:r>
    </w:p>
    <w:p w:rsidR="00722021" w:rsidRPr="00496988" w:rsidRDefault="00722021" w:rsidP="00722021">
      <w:pPr>
        <w:jc w:val="center"/>
        <w:rPr>
          <w:rStyle w:val="Emphasis"/>
          <w:b/>
          <w:color w:val="000000" w:themeColor="text1"/>
          <w:sz w:val="26"/>
          <w:szCs w:val="26"/>
        </w:rPr>
      </w:pPr>
      <w:r w:rsidRPr="00496988">
        <w:rPr>
          <w:rStyle w:val="Emphasis"/>
          <w:b/>
          <w:color w:val="000000" w:themeColor="text1"/>
          <w:sz w:val="26"/>
          <w:szCs w:val="26"/>
        </w:rPr>
        <w:t xml:space="preserve"> (Nr.97</w:t>
      </w:r>
      <w:r>
        <w:rPr>
          <w:rStyle w:val="Emphasis"/>
          <w:b/>
          <w:color w:val="000000" w:themeColor="text1"/>
          <w:sz w:val="26"/>
          <w:szCs w:val="26"/>
        </w:rPr>
        <w:t>4</w:t>
      </w:r>
      <w:r w:rsidRPr="00496988">
        <w:rPr>
          <w:rStyle w:val="Emphasis"/>
          <w:b/>
          <w:color w:val="000000" w:themeColor="text1"/>
          <w:sz w:val="26"/>
          <w:szCs w:val="26"/>
        </w:rPr>
        <w:t>/Lp12)</w:t>
      </w:r>
    </w:p>
    <w:p w:rsidR="00722021" w:rsidRPr="00496988" w:rsidRDefault="00722021" w:rsidP="00722021">
      <w:pPr>
        <w:rPr>
          <w:rStyle w:val="Emphasis"/>
          <w:b/>
          <w:color w:val="000000" w:themeColor="text1"/>
          <w:sz w:val="26"/>
          <w:szCs w:val="26"/>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3"/>
        <w:gridCol w:w="3827"/>
        <w:gridCol w:w="1418"/>
        <w:gridCol w:w="3827"/>
        <w:gridCol w:w="1559"/>
        <w:gridCol w:w="1134"/>
      </w:tblGrid>
      <w:tr w:rsidR="0023009E" w:rsidRPr="00496988" w:rsidTr="00EB7EDD">
        <w:tc>
          <w:tcPr>
            <w:tcW w:w="3403" w:type="dxa"/>
            <w:shd w:val="clear" w:color="auto" w:fill="auto"/>
            <w:vAlign w:val="center"/>
          </w:tcPr>
          <w:p w:rsidR="0023009E" w:rsidRPr="00496988" w:rsidRDefault="0023009E" w:rsidP="0034236F">
            <w:pPr>
              <w:jc w:val="center"/>
              <w:rPr>
                <w:b/>
                <w:bCs/>
                <w:iCs/>
                <w:color w:val="000000" w:themeColor="text1"/>
              </w:rPr>
            </w:pPr>
            <w:r w:rsidRPr="00496988">
              <w:rPr>
                <w:b/>
                <w:bCs/>
                <w:iCs/>
                <w:color w:val="000000" w:themeColor="text1"/>
              </w:rPr>
              <w:t>Spēkā esošā redakcija</w:t>
            </w:r>
          </w:p>
        </w:tc>
        <w:tc>
          <w:tcPr>
            <w:tcW w:w="3827" w:type="dxa"/>
            <w:shd w:val="clear" w:color="auto" w:fill="auto"/>
            <w:vAlign w:val="center"/>
          </w:tcPr>
          <w:p w:rsidR="0023009E" w:rsidRPr="00496988" w:rsidRDefault="0023009E" w:rsidP="0034236F">
            <w:pPr>
              <w:jc w:val="center"/>
              <w:rPr>
                <w:b/>
                <w:color w:val="000000" w:themeColor="text1"/>
              </w:rPr>
            </w:pPr>
            <w:r w:rsidRPr="00496988">
              <w:rPr>
                <w:b/>
                <w:color w:val="000000" w:themeColor="text1"/>
              </w:rPr>
              <w:t>Pirmā lasījuma redakcija</w:t>
            </w:r>
          </w:p>
        </w:tc>
        <w:tc>
          <w:tcPr>
            <w:tcW w:w="1418" w:type="dxa"/>
            <w:vAlign w:val="center"/>
          </w:tcPr>
          <w:p w:rsidR="0023009E" w:rsidRPr="00496988" w:rsidRDefault="0023009E" w:rsidP="0034236F">
            <w:pPr>
              <w:jc w:val="center"/>
              <w:rPr>
                <w:b/>
                <w:color w:val="000000" w:themeColor="text1"/>
              </w:rPr>
            </w:pPr>
            <w:r w:rsidRPr="00496988">
              <w:rPr>
                <w:b/>
                <w:color w:val="000000" w:themeColor="text1"/>
              </w:rPr>
              <w:t>Nr.</w:t>
            </w:r>
          </w:p>
        </w:tc>
        <w:tc>
          <w:tcPr>
            <w:tcW w:w="3827" w:type="dxa"/>
            <w:vAlign w:val="center"/>
          </w:tcPr>
          <w:p w:rsidR="0023009E" w:rsidRPr="00496988" w:rsidRDefault="0023009E" w:rsidP="0034236F">
            <w:pPr>
              <w:jc w:val="center"/>
              <w:rPr>
                <w:b/>
                <w:color w:val="000000" w:themeColor="text1"/>
              </w:rPr>
            </w:pPr>
            <w:r w:rsidRPr="00496988">
              <w:rPr>
                <w:b/>
                <w:color w:val="000000" w:themeColor="text1"/>
              </w:rPr>
              <w:t>Priekšlikumi</w:t>
            </w:r>
          </w:p>
          <w:p w:rsidR="0023009E" w:rsidRPr="00496988" w:rsidRDefault="0023009E" w:rsidP="0034236F">
            <w:pPr>
              <w:jc w:val="center"/>
              <w:rPr>
                <w:b/>
                <w:color w:val="000000" w:themeColor="text1"/>
              </w:rPr>
            </w:pPr>
            <w:r w:rsidRPr="00496988">
              <w:rPr>
                <w:b/>
                <w:color w:val="000000" w:themeColor="text1"/>
              </w:rPr>
              <w:t>(</w:t>
            </w:r>
            <w:r>
              <w:rPr>
                <w:b/>
                <w:color w:val="000000" w:themeColor="text1"/>
              </w:rPr>
              <w:t>14</w:t>
            </w:r>
            <w:r w:rsidRPr="00496988">
              <w:rPr>
                <w:b/>
                <w:color w:val="000000" w:themeColor="text1"/>
              </w:rPr>
              <w:t>)</w:t>
            </w:r>
          </w:p>
        </w:tc>
        <w:tc>
          <w:tcPr>
            <w:tcW w:w="1559" w:type="dxa"/>
          </w:tcPr>
          <w:p w:rsidR="0023009E" w:rsidRPr="00496988" w:rsidRDefault="0023009E" w:rsidP="0034236F">
            <w:pPr>
              <w:jc w:val="center"/>
              <w:rPr>
                <w:b/>
                <w:color w:val="000000" w:themeColor="text1"/>
              </w:rPr>
            </w:pPr>
            <w:r>
              <w:rPr>
                <w:b/>
                <w:color w:val="000000" w:themeColor="text1"/>
              </w:rPr>
              <w:t>Ministru kabineta atzinums</w:t>
            </w:r>
          </w:p>
        </w:tc>
        <w:tc>
          <w:tcPr>
            <w:tcW w:w="1134" w:type="dxa"/>
            <w:vAlign w:val="center"/>
          </w:tcPr>
          <w:p w:rsidR="0023009E" w:rsidRPr="00496988" w:rsidRDefault="0023009E" w:rsidP="0034236F">
            <w:pPr>
              <w:jc w:val="center"/>
              <w:rPr>
                <w:b/>
                <w:color w:val="000000" w:themeColor="text1"/>
              </w:rPr>
            </w:pPr>
            <w:r w:rsidRPr="00496988">
              <w:rPr>
                <w:b/>
                <w:color w:val="000000" w:themeColor="text1"/>
              </w:rPr>
              <w:t>Komisijas atzinums</w:t>
            </w:r>
          </w:p>
        </w:tc>
      </w:tr>
      <w:tr w:rsidR="0023009E" w:rsidRPr="00496988" w:rsidTr="00EB7EDD">
        <w:tc>
          <w:tcPr>
            <w:tcW w:w="3403" w:type="dxa"/>
            <w:shd w:val="clear" w:color="auto" w:fill="auto"/>
          </w:tcPr>
          <w:p w:rsidR="0023009E" w:rsidRPr="00496988" w:rsidRDefault="0023009E" w:rsidP="00EF0E8C">
            <w:pPr>
              <w:ind w:firstLine="567"/>
              <w:jc w:val="both"/>
              <w:rPr>
                <w:color w:val="000000" w:themeColor="text1"/>
                <w:sz w:val="22"/>
              </w:rPr>
            </w:pPr>
          </w:p>
        </w:tc>
        <w:tc>
          <w:tcPr>
            <w:tcW w:w="3827" w:type="dxa"/>
            <w:shd w:val="clear" w:color="auto" w:fill="auto"/>
          </w:tcPr>
          <w:p w:rsidR="0023009E" w:rsidRPr="00271EF7" w:rsidRDefault="0023009E" w:rsidP="00271EF7">
            <w:pPr>
              <w:ind w:firstLine="567"/>
              <w:jc w:val="both"/>
              <w:rPr>
                <w:rFonts w:eastAsia="Times New Roman"/>
                <w:color w:val="000000" w:themeColor="text1"/>
                <w:sz w:val="22"/>
                <w:lang w:eastAsia="lv-LV"/>
              </w:rPr>
            </w:pPr>
            <w:r w:rsidRPr="00271EF7">
              <w:rPr>
                <w:sz w:val="22"/>
              </w:rPr>
              <w:t>Izdarīt likumā "Par nodokļiem un nodevām" (Latvijas Republikas Saeimas un Ministru Kabineta Ziņotājs, 1995, 7. nr.; 1996, 15. nr.; 1997, 24. nr.; 1998, 2., 18., 22., 24. nr.; 1999, 24. nr.; 2000, 11. nr.; 2001, 3., 8., 12. nr.; 2002, 2., 22. nr.; 2003, 2., 6., 8., 15., 22. nr.; 2004, 9. nr.; 2005, 2., 11. nr.; 2006, 1., 9., 13., 20., 24. nr.; 2007, 3., 7., 12. nr.; 2008, 1., 6., 13. nr.; 2009, 2., 11., 13., 15. nr.; Latvijas Vēstnesis, 2009, 200., 205. nr.; 2010, 91., 101., 131., 151., 157., 178., 183., 206. nr.; 2011, 68., 80., 85., 169. nr.; 2012, 24., 50., 56., 109., 157., 186., 199., 203. nr.; 2013, 61., 92., 187., 194., 232. nr.; 2014, 6., 51., 119., 189., 204., 214., 220., 257. nr.; 2015, 29., 68., 118., 190., 208., 230., 245., 248., 251. nr.; 2016, 2., 91., 241. nr.; 2017, 5., 75., 124.,128. nr.) šādus grozījumus:</w:t>
            </w:r>
          </w:p>
        </w:tc>
        <w:tc>
          <w:tcPr>
            <w:tcW w:w="1418" w:type="dxa"/>
          </w:tcPr>
          <w:p w:rsidR="0023009E" w:rsidRPr="00693415" w:rsidRDefault="0023009E" w:rsidP="00EF0E8C">
            <w:pPr>
              <w:jc w:val="center"/>
              <w:rPr>
                <w:rFonts w:eastAsia="Times New Roman"/>
                <w:b/>
                <w:color w:val="000000" w:themeColor="text1"/>
                <w:sz w:val="22"/>
                <w:lang w:eastAsia="lv-LV"/>
              </w:rPr>
            </w:pPr>
            <w:r w:rsidRPr="00693415">
              <w:rPr>
                <w:rFonts w:eastAsia="Times New Roman"/>
                <w:b/>
                <w:color w:val="000000" w:themeColor="text1"/>
                <w:sz w:val="22"/>
                <w:lang w:eastAsia="lv-LV"/>
              </w:rPr>
              <w:t>1</w:t>
            </w:r>
          </w:p>
        </w:tc>
        <w:tc>
          <w:tcPr>
            <w:tcW w:w="3827" w:type="dxa"/>
          </w:tcPr>
          <w:p w:rsidR="0023009E" w:rsidRDefault="0023009E" w:rsidP="00EF0E8C">
            <w:pPr>
              <w:ind w:firstLine="567"/>
              <w:jc w:val="both"/>
              <w:rPr>
                <w:rFonts w:eastAsia="Times New Roman"/>
                <w:b/>
                <w:color w:val="000000" w:themeColor="text1"/>
                <w:sz w:val="22"/>
                <w:u w:val="single"/>
                <w:lang w:eastAsia="lv-LV"/>
              </w:rPr>
            </w:pPr>
            <w:r w:rsidRPr="000545F4">
              <w:rPr>
                <w:rFonts w:eastAsia="Times New Roman"/>
                <w:b/>
                <w:color w:val="000000" w:themeColor="text1"/>
                <w:sz w:val="22"/>
                <w:u w:val="single"/>
                <w:lang w:eastAsia="lv-LV"/>
              </w:rPr>
              <w:t>Juridiskais birojs</w:t>
            </w:r>
          </w:p>
          <w:p w:rsidR="0023009E" w:rsidRDefault="0023009E" w:rsidP="000545F4">
            <w:pPr>
              <w:ind w:firstLine="567"/>
              <w:jc w:val="both"/>
              <w:rPr>
                <w:i/>
                <w:sz w:val="22"/>
              </w:rPr>
            </w:pPr>
            <w:r w:rsidRPr="00A00C29">
              <w:rPr>
                <w:i/>
                <w:sz w:val="22"/>
              </w:rPr>
              <w:t>Saeimas Juridiskais birojs iepazinies ar likumprojektu “Grozījumi likumā “Par nodokļiem un nodevām”” (reģ. Nr. 974/Lp12) un izsaka uz otro lasījumu šādus priekšlikumus:</w:t>
            </w:r>
          </w:p>
          <w:p w:rsidR="0023009E" w:rsidRPr="00A00C29" w:rsidRDefault="0023009E" w:rsidP="000545F4">
            <w:pPr>
              <w:ind w:firstLine="567"/>
              <w:jc w:val="both"/>
              <w:rPr>
                <w:i/>
                <w:sz w:val="22"/>
              </w:rPr>
            </w:pPr>
            <w:r w:rsidRPr="00A00C29">
              <w:rPr>
                <w:i/>
                <w:sz w:val="22"/>
              </w:rPr>
              <w:t xml:space="preserve">Likumprojektā ietvertais regulējums attiecībā uz informācijas sniegšanu par fiziskās personas konta apgrozījumu (likuma 15. panta trešās daļas 10. punkts), kā arī personas datu publiskošana (likuma 18. panta 28., 29. 30. punkts, kā arī 22. panta pirmās daļas 5. un 6. punkts)  visupirms ir vērtējams no tā atbilstības Satversmes 96. pantā garantētajām tiesībām uz privātās dzīves neaizskaramību un Fizisko personu datu aizsardzības likumam, ņemot vērā, ka ar attiecīgo likumu ir ieviesta Eiropas Savienības direktīva 95/46/EK par personu aizsardzību attiecībā uz personas datu apstrādi un šādu datu brīvu apriti (turpmāk – Direktīva 95/46/EK). Izvērtējot attiecīgās normas atbilstību tiesībām uz privātās dzīves neaizskaramību, būtiska nozīme ir arī regulējuma atbilstībai Satversmes tiesas </w:t>
            </w:r>
            <w:r w:rsidRPr="00A00C29">
              <w:rPr>
                <w:i/>
                <w:sz w:val="22"/>
              </w:rPr>
              <w:lastRenderedPageBreak/>
              <w:t>praksē attīstītajiem vispārīgajiem personas datu aizsardzības principiem, īpaši tiesiskuma, taisnīguma un minimalitātes principam.</w:t>
            </w:r>
          </w:p>
          <w:p w:rsidR="0023009E" w:rsidRPr="00A00C29" w:rsidRDefault="0023009E" w:rsidP="000545F4">
            <w:pPr>
              <w:tabs>
                <w:tab w:val="left" w:pos="709"/>
              </w:tabs>
              <w:jc w:val="both"/>
              <w:rPr>
                <w:i/>
                <w:sz w:val="22"/>
              </w:rPr>
            </w:pPr>
            <w:r w:rsidRPr="00A00C29">
              <w:rPr>
                <w:i/>
                <w:sz w:val="22"/>
              </w:rPr>
              <w:tab/>
              <w:t xml:space="preserve">Tiesības uz privātās dzīves neaizskaramību var ierobežot, ja ierobežojums ir attaisnojams, proti: 1) tas ir noteikts ar likumu; 2) tam ir leģitīms mērķis; 3) tas ir samērīgs, proti, piemērots, nepieciešams un atbilstošs ar izvirzīto leģitīmo mērķi (sk. Satversmes tiesas 2016. gada 16. jūnija sprieduma lietā Nr. 2015-18-01 12. un 15. punktu). </w:t>
            </w:r>
          </w:p>
          <w:p w:rsidR="0023009E" w:rsidRPr="00A00C29" w:rsidRDefault="0023009E" w:rsidP="000545F4">
            <w:pPr>
              <w:tabs>
                <w:tab w:val="left" w:pos="709"/>
              </w:tabs>
              <w:jc w:val="both"/>
              <w:rPr>
                <w:i/>
                <w:sz w:val="22"/>
              </w:rPr>
            </w:pPr>
            <w:r w:rsidRPr="00A00C29">
              <w:rPr>
                <w:i/>
                <w:sz w:val="22"/>
              </w:rPr>
              <w:tab/>
              <w:t>Tiesiskuma princips prasa, lai personas datu izmantošana un nodošana izmantošanai citiem mērķiem nekā tie, kuriem dati sākotnēji iegūti, notiktu tikai ar personas piekrišanu vai arī uz likuma pamata. Savukārt taisnīguma princips prasa, lai informācijas iegūšana un apstrāde notiktu tādā veidā, kas izslēgtu nesamērīgu iejaukšanos datu subjektu privātumā, autonomijā un integritātē. Atbilstoši minimalitātes principam personas datu apstrāde ir aizliegta, ja vien nav nepieciešams sasniegt nozīmīgus un iepriekš skaidri noteiktus datu apstrādes mērķus (sk. Satversmes tiesas 2016. gada 12. maija sprieduma lietā Nr. 2015-14-0103 23.3.1. punktu).</w:t>
            </w:r>
          </w:p>
          <w:p w:rsidR="0023009E" w:rsidRPr="00A00C29" w:rsidRDefault="0023009E" w:rsidP="000545F4">
            <w:pPr>
              <w:tabs>
                <w:tab w:val="left" w:pos="709"/>
              </w:tabs>
              <w:jc w:val="both"/>
              <w:rPr>
                <w:i/>
                <w:sz w:val="22"/>
              </w:rPr>
            </w:pPr>
            <w:r w:rsidRPr="00A00C29">
              <w:rPr>
                <w:i/>
                <w:sz w:val="22"/>
              </w:rPr>
              <w:tab/>
              <w:t>Šai sakarā vēršam komisijas uzmanību uz vairākiem aspektiem, kas Juridiskā biroja ieskatā liek apšaubīt likumprojektā ietverto normu atbilstību Satversmei.</w:t>
            </w:r>
          </w:p>
          <w:p w:rsidR="0023009E" w:rsidRPr="00A00C29" w:rsidRDefault="0023009E" w:rsidP="000545F4">
            <w:pPr>
              <w:tabs>
                <w:tab w:val="left" w:pos="709"/>
              </w:tabs>
              <w:jc w:val="both"/>
              <w:rPr>
                <w:i/>
                <w:sz w:val="22"/>
              </w:rPr>
            </w:pPr>
          </w:p>
          <w:p w:rsidR="0023009E" w:rsidRPr="00A00C29" w:rsidRDefault="0023009E" w:rsidP="000545F4">
            <w:pPr>
              <w:pStyle w:val="ListParagraph"/>
              <w:numPr>
                <w:ilvl w:val="0"/>
                <w:numId w:val="1"/>
              </w:numPr>
              <w:tabs>
                <w:tab w:val="left" w:pos="426"/>
                <w:tab w:val="left" w:pos="993"/>
              </w:tabs>
              <w:spacing w:before="0" w:beforeAutospacing="0" w:after="0" w:afterAutospacing="0"/>
              <w:ind w:left="0" w:firstLine="709"/>
              <w:contextualSpacing/>
              <w:jc w:val="both"/>
              <w:rPr>
                <w:i/>
                <w:sz w:val="22"/>
                <w:szCs w:val="22"/>
              </w:rPr>
            </w:pPr>
            <w:r w:rsidRPr="00A00C29">
              <w:rPr>
                <w:i/>
                <w:sz w:val="22"/>
                <w:szCs w:val="22"/>
              </w:rPr>
              <w:t xml:space="preserve">Grozījumi likuma 15. panta trešajā daļā attiecībā uz tās </w:t>
            </w:r>
            <w:r w:rsidRPr="00A00C29">
              <w:rPr>
                <w:i/>
                <w:sz w:val="22"/>
                <w:szCs w:val="22"/>
              </w:rPr>
              <w:lastRenderedPageBreak/>
              <w:t>papildināšanu ar 10. punktu (likumprojekta 1. pants) paredz noteikt kredītiestādēm un maksājumu pakalpojumu sniedzējiem, kas sniedz ar maksājumu kontu saistītus pakalpojumus, jaunu pienākumu – iesniegt Valsts ieņēmumu dienestā informāciju par fizisko personu (Latvijas Republikas rezidentu) kontu debeta un kredīta apgrozījumu iepriekšējā gadā, tostarp arī konta atlikumu gada beigās. Šo pienākumu paredzēts attiecināt uz gadījumiem, kad fiziskās personas konta debeta vai kredīta apgrozījums pārsniedz 15 000 euro. Informācijas sniegšanas mērķis, kā tas noteikts likumprojektā, ir pilnveidot fizisko personu nodokļu nomaksas uzraudzību.</w:t>
            </w:r>
          </w:p>
          <w:p w:rsidR="0023009E" w:rsidRPr="00A00C29" w:rsidRDefault="0023009E" w:rsidP="000545F4">
            <w:pPr>
              <w:tabs>
                <w:tab w:val="left" w:pos="709"/>
              </w:tabs>
              <w:jc w:val="both"/>
              <w:rPr>
                <w:i/>
                <w:sz w:val="22"/>
              </w:rPr>
            </w:pPr>
            <w:r w:rsidRPr="00A00C29">
              <w:rPr>
                <w:i/>
                <w:sz w:val="22"/>
              </w:rPr>
              <w:tab/>
              <w:t>Pirmkārt, likumprojektā noteiktais personas datu apstrādes mērķis ir pilnveidot fizisko personu nodokļu nomaksas uzraudzību. Juridiskā biroja ieskatā datu apstrādes mērķis ir pārlieku nekonkrēts un plašs un tā sasniegšanā attiecībā pret personu pamattiesību ierobežojuma noteikšanu varētu būt saudzējošāks līdzeklis, proti, nodokļu administrācijas darba efektivizēšana. Tāpēc visupirms aicinām konkretizēt personas datu apstrādes mērķi, lai tas atbilstu Satversmes 96. un 116. pantam.</w:t>
            </w:r>
          </w:p>
          <w:p w:rsidR="0023009E" w:rsidRPr="00A00C29" w:rsidRDefault="0023009E" w:rsidP="000545F4">
            <w:pPr>
              <w:tabs>
                <w:tab w:val="left" w:pos="709"/>
              </w:tabs>
              <w:jc w:val="both"/>
              <w:rPr>
                <w:i/>
                <w:sz w:val="22"/>
              </w:rPr>
            </w:pPr>
            <w:r w:rsidRPr="00A00C29">
              <w:rPr>
                <w:i/>
                <w:sz w:val="22"/>
              </w:rPr>
              <w:tab/>
              <w:t xml:space="preserve">Otrkārt, aicinām komisijā uzklausīt Valsts ieņēmumu dienestu un vērtēt, vai, ir pietiekošs pamats personas datu vākšanai likumprojektā piedāvātajā  apjomā. Eiropas Savienības tiesa ir norādījusi, ka personas datu </w:t>
            </w:r>
            <w:r w:rsidRPr="00A00C29">
              <w:rPr>
                <w:i/>
                <w:sz w:val="22"/>
              </w:rPr>
              <w:lastRenderedPageBreak/>
              <w:t>apstrādātājam ir jānodrošina, ka personas datiem jābūt adekvātiem, attiecīgiem un ne pārmērīgā apjomā attiecībā uz nolūkiem, kādiem tie savākti un apstrādāti (sk. Eiropas Savienības Tiesas 2014. gada 13. maija sprieduma lietā C-131/12 72. punktu). Šai sakarā vēršam komisijas uzmanību uz to, ka likumprojektā ietvertais regulējums paredz informācijas sniegšanu sasniedzot noteiktu apmēru - 15 000 euro apgrozījums iepriekšējā gadā. No likumprojekta anotācijas nav saprotams, kādi apsvērumi ir bijuši pamatā šāda kritērija izvēlei. Tāpēc aicinām komisijā vērtēt šāda kritērija noteikšanas pamatotību un samērīgumu.</w:t>
            </w:r>
          </w:p>
          <w:p w:rsidR="0023009E" w:rsidRPr="00A00C29" w:rsidRDefault="0023009E" w:rsidP="000545F4">
            <w:pPr>
              <w:tabs>
                <w:tab w:val="left" w:pos="709"/>
              </w:tabs>
              <w:jc w:val="both"/>
              <w:rPr>
                <w:i/>
                <w:sz w:val="22"/>
              </w:rPr>
            </w:pPr>
            <w:r w:rsidRPr="00A00C29">
              <w:rPr>
                <w:i/>
                <w:sz w:val="22"/>
              </w:rPr>
              <w:tab/>
              <w:t xml:space="preserve">Treškārt, aicinām komisijā uzklausīt likumprojekta autoru, arī Valsts ieņēmuma dienesta viedokli attiecībā uz to, konkrēti kādu datu apstrādi ir paredzēts veikt. Fiziskās personas bankas konts var atspoguļot ļoti daudz un dažādus ar personu saistītus datus – ne tikai personas darba algu un ienākumus, bet arī personas tēriņus, nodrošinot iespēju identificēt tās vietas, kuras persona apmeklējusi. Aicinām likumā precīzi noteikt, kādu informāciju saņems Valsts ieņēmumu dienests, proti, vai tikai konkrētas gada apgrozījuma un atlikuma summas, neatklājot detalizētāku informāciju, vai arī informāciju, no kuras varēs izsecināt konkrētus personas tēriņus, maksājumus un citas operācijas, kuras veiktas ar bankas kontu. Ja tiks saņemti tik plaši dati par nodokļu maksātājiem, kuru kredīta vai debeta </w:t>
            </w:r>
            <w:r w:rsidRPr="00A00C29">
              <w:rPr>
                <w:i/>
                <w:sz w:val="22"/>
              </w:rPr>
              <w:lastRenderedPageBreak/>
              <w:t>apgrozījums gada laikā sasniedz normā minēto, var rasties pamatotas šaubas, vai personas datu apstrāde nav vērtējama kā pārmērīga, jo tiek vākti dati, neatkarīgi no tā, vai pastāv šaubas par attiecīgās personas godprātību nodokļu maksāšanā.</w:t>
            </w:r>
          </w:p>
          <w:p w:rsidR="0023009E" w:rsidRPr="00A00C29" w:rsidRDefault="0023009E" w:rsidP="000545F4">
            <w:pPr>
              <w:tabs>
                <w:tab w:val="left" w:pos="709"/>
              </w:tabs>
              <w:jc w:val="both"/>
              <w:rPr>
                <w:i/>
                <w:sz w:val="22"/>
              </w:rPr>
            </w:pPr>
            <w:r w:rsidRPr="00A00C29">
              <w:rPr>
                <w:i/>
                <w:sz w:val="22"/>
              </w:rPr>
              <w:tab/>
              <w:t>Ceturtkārt, vēršam komisijas uzmanību uz to, ka likumprojektā nav ietverti nosacījumi par to, cik ilgi tiek veikta personas datu apstrāde un pienākums Valsts ieņēmumu dienestam pēc datu apstrādei noteiktā termiņa izbeigšanās datus dzēst. Likumprojekts neparedz nekādus pienākumus Valsts ieņēmumu dienestam attiecībā uz saņemtās informācijas aizsardzību. Līdz ar to likumprojekts būtu papildināms ar normām, kas skaidri un precīzi noteiktu datu apstrādes laiku, pienākumu iznīcināt šos datus pēc noteiktā termiņa vai tiklīdz konstatēts, ka vairs nepastāv datu apstrādes tiesiskais pamats un pienākumus attiecībā uz saņemtās informācijas aizsardzību.</w:t>
            </w:r>
          </w:p>
          <w:p w:rsidR="0023009E" w:rsidRPr="00A00C29" w:rsidRDefault="0023009E" w:rsidP="000545F4">
            <w:pPr>
              <w:tabs>
                <w:tab w:val="left" w:pos="709"/>
              </w:tabs>
              <w:jc w:val="both"/>
              <w:rPr>
                <w:i/>
                <w:sz w:val="22"/>
              </w:rPr>
            </w:pPr>
            <w:r w:rsidRPr="00A00C29">
              <w:rPr>
                <w:i/>
                <w:sz w:val="22"/>
              </w:rPr>
              <w:tab/>
              <w:t xml:space="preserve">Piektkārt, aicinām komisijā uzklausīt likumprojekta autoru, arī Valsts ieņēmumu dienesta viedokli par to, vai izraudzītais līdzeklis ir piemērots leģitīmā mērķa sasniegšanai. Piemēram, datu sniegšanas pienākums netiek attiecināts uz gadījumiem, kad personai ir atvērti konti vairākās kredītiestādēs vai kad persona izmanto vairākus maksājumu pakalpojumu sniedzējus, vai arī personai vienā kredītiestādē ir vairāki konti, kuru apgrozījums nesasniedz likumprojektā paredzēto </w:t>
            </w:r>
            <w:r w:rsidRPr="00A00C29">
              <w:rPr>
                <w:i/>
                <w:sz w:val="22"/>
              </w:rPr>
              <w:lastRenderedPageBreak/>
              <w:t xml:space="preserve">slieksni - 15 000 euro. Tāpat likumprojekta norma neattiecas uz situācijām, kad darba devējs atbilstoši Darba likuma 70. pantam izmaksā darbiniekam darba samaksu skaidrā naudā, lai arī šādās situācijās tāpat varētu pastāvēt izvairīšanās no nodokļu nomaksas risks. </w:t>
            </w:r>
          </w:p>
          <w:p w:rsidR="0023009E" w:rsidRPr="00A00C29" w:rsidRDefault="0023009E" w:rsidP="000545F4">
            <w:pPr>
              <w:tabs>
                <w:tab w:val="left" w:pos="709"/>
              </w:tabs>
              <w:jc w:val="both"/>
              <w:rPr>
                <w:i/>
                <w:sz w:val="22"/>
              </w:rPr>
            </w:pPr>
            <w:r w:rsidRPr="00A00C29">
              <w:rPr>
                <w:i/>
                <w:sz w:val="22"/>
              </w:rPr>
              <w:tab/>
              <w:t>Tāpat vēršam komisijas uzmanību uz to, ka grozījumi likuma 15. panta trešajā daļā attiecībā uz tās papildināšanu ar 10. punktu (likumprojekta 1 pants) nav saskaņots ar Kredītiestāžu likuma un Maksājumu pakalpojumu un elektroniskās naudas likuma normām, jo tajās netiek paredzēts kredītiestādes un maksājumu pakalpojumu sniedzēja pienākums sniegt šādas ziņas. Pretrunu novēršanai ir nepieciešami atbilstoši grozījumi arī abos iepriekšminētajos likumos. Uz šādu nepieciešamību ir norādīts arī likumprojekta anotācijā, tomēr nepieciešamie grozījumi šajos likumos netiek virzīti. Tādējādi pastāv risks, ka, stājoties spēkā grozījumiem likuma “Par nodokļiem un nodevām” 15. panta trešajā daļā attiecībā uz tās papildināšanu ar 10. punktu, bez atbilstošiem grozījumiem Kredītiestāžu likumā un Maksājumu pakalpojumu un elektroniskās naudas likumā, var veidoties juridiski neskaidra situācija un dažādas interpretācijas tiesību normu piemērošanā.</w:t>
            </w:r>
          </w:p>
          <w:p w:rsidR="0023009E" w:rsidRPr="00A00C29" w:rsidRDefault="0023009E" w:rsidP="000545F4">
            <w:pPr>
              <w:tabs>
                <w:tab w:val="left" w:pos="709"/>
              </w:tabs>
              <w:jc w:val="both"/>
              <w:rPr>
                <w:i/>
                <w:sz w:val="22"/>
              </w:rPr>
            </w:pPr>
          </w:p>
          <w:p w:rsidR="0023009E" w:rsidRPr="00A00C29" w:rsidRDefault="0023009E" w:rsidP="000545F4">
            <w:pPr>
              <w:pStyle w:val="ListParagraph"/>
              <w:numPr>
                <w:ilvl w:val="0"/>
                <w:numId w:val="1"/>
              </w:numPr>
              <w:tabs>
                <w:tab w:val="left" w:pos="360"/>
                <w:tab w:val="left" w:pos="1134"/>
              </w:tabs>
              <w:spacing w:before="0" w:beforeAutospacing="0" w:after="0" w:afterAutospacing="0"/>
              <w:ind w:left="0" w:firstLine="851"/>
              <w:contextualSpacing/>
              <w:jc w:val="both"/>
              <w:rPr>
                <w:i/>
                <w:sz w:val="22"/>
                <w:szCs w:val="22"/>
              </w:rPr>
            </w:pPr>
            <w:r w:rsidRPr="00A00C29">
              <w:rPr>
                <w:i/>
                <w:sz w:val="22"/>
                <w:szCs w:val="22"/>
              </w:rPr>
              <w:t xml:space="preserve">Attiecībā uz grozījumiem likuma 18. panta pirmajā daļā par tās </w:t>
            </w:r>
            <w:r w:rsidRPr="00A00C29">
              <w:rPr>
                <w:i/>
                <w:sz w:val="22"/>
                <w:szCs w:val="22"/>
              </w:rPr>
              <w:lastRenderedPageBreak/>
              <w:t>papildināšanu ar 28. punktu (likumprojekta 2. pants) aicinām komisijā uzklausīt likumprojekta autorus un vērtēt, vai likumprojekta attiecīgajā normā ietvertais regulējums nodrošināt publiski pieejamu informāciju par darba devējiem, kuru darbinieku vidējais mēneša atalgojums ir valstī noteiktās minimālās mēneša darba algas apmērā vai mazāks – ir piemērots līdzeklis norādītā mērķa sasniegšanai. Aicinām komisiju vērtēt, pirmkārt, vai norādītās informācijas publiskošana, piemēram, attiecībā uz darba devējiem, kuru saimnieciskās darbības veidam ir izteikti sezonāls raksturs, nenodarīs kaitējumu šīm personām. Otrkārt, vai fiziskās personas – darba devēja vārda un uzvārda publiskošana neaizskar citu personu ar tādu pašu vārdu un uzvārdu intereses. Treškārt, vai pieņemot šādu normu, nebūtu konkretizējams mērķis, kālab informācija tiek publicēta, jo līdzšinējais mērķis ir pārlieku nekonkrēts un plašs.</w:t>
            </w:r>
          </w:p>
          <w:p w:rsidR="0023009E" w:rsidRPr="00A00C29" w:rsidRDefault="0023009E" w:rsidP="000545F4">
            <w:pPr>
              <w:pStyle w:val="ListParagraph"/>
              <w:numPr>
                <w:ilvl w:val="0"/>
                <w:numId w:val="1"/>
              </w:numPr>
              <w:tabs>
                <w:tab w:val="left" w:pos="360"/>
                <w:tab w:val="left" w:pos="1134"/>
              </w:tabs>
              <w:spacing w:before="0" w:beforeAutospacing="0" w:after="0" w:afterAutospacing="0"/>
              <w:ind w:left="0" w:firstLine="851"/>
              <w:contextualSpacing/>
              <w:jc w:val="both"/>
              <w:rPr>
                <w:i/>
                <w:sz w:val="22"/>
                <w:szCs w:val="22"/>
              </w:rPr>
            </w:pPr>
            <w:r w:rsidRPr="00A00C29">
              <w:rPr>
                <w:i/>
                <w:sz w:val="22"/>
                <w:szCs w:val="22"/>
              </w:rPr>
              <w:t xml:space="preserve">Attiecībā uz grozījumiem likuma 18. panta pirmajā daļā par tās papildināšanu ar 29. punktu (likumprojekta 2. pants) aicinām komisijā uzklausīt likumprojekta autorus un vērtēt, vai likumprojektā attiecīgajā normā ietvertais regulējums ir piemērots izraudzītā mērķa sasniegšanai. Pirmkārt, vai, nodrošinot publiski pieejamu fiziskās personas vārdu un uzvārdu un informāciju par to, ka šī fiziskā persona ir administratīvi sodīta par darba samaksas noteikumu pārkāpšanu, </w:t>
            </w:r>
            <w:r w:rsidRPr="00A00C29">
              <w:rPr>
                <w:i/>
                <w:sz w:val="22"/>
                <w:szCs w:val="22"/>
              </w:rPr>
              <w:lastRenderedPageBreak/>
              <w:t xml:space="preserve">neaizskar citu personu ar tādu pašu vārdu un uzvārdu intereses. Otrkārt, vai regulējums spēs izpildīt vispārējās un speciālās prevencijas funkciju, ja informācija par pārkāpumu tiks publicēta tikai līdz brīdim, kad nodokļu maksātājs būs izpildījis attiecīgo administratīvo sodu. </w:t>
            </w:r>
          </w:p>
          <w:p w:rsidR="0023009E" w:rsidRPr="00A00C29" w:rsidRDefault="0023009E" w:rsidP="000545F4">
            <w:pPr>
              <w:tabs>
                <w:tab w:val="left" w:pos="360"/>
                <w:tab w:val="left" w:pos="426"/>
              </w:tabs>
              <w:ind w:firstLine="851"/>
              <w:jc w:val="both"/>
              <w:rPr>
                <w:i/>
                <w:sz w:val="22"/>
              </w:rPr>
            </w:pPr>
            <w:r w:rsidRPr="00A00C29">
              <w:rPr>
                <w:i/>
                <w:sz w:val="22"/>
              </w:rPr>
              <w:t xml:space="preserve">Juridiskā biroja ieskatā piedāvātā likumprojekta normas redakcija varētu vairāk stimulēt samaksāt administratīvo sodu, nevis atturēt no pārkāpumu veikšanas nākotnē. Tomēr atbilstoši anotācijā minētajam regulējums veidots tāpēc, lai motivētu pārkāpējus turpmāk ievērot ar grāmatvedības kārtošanu un organizāciju saistītas prasības. </w:t>
            </w:r>
          </w:p>
          <w:p w:rsidR="0023009E" w:rsidRPr="00A00C29" w:rsidRDefault="0023009E" w:rsidP="000545F4">
            <w:pPr>
              <w:pStyle w:val="ListParagraph"/>
              <w:numPr>
                <w:ilvl w:val="0"/>
                <w:numId w:val="1"/>
              </w:numPr>
              <w:tabs>
                <w:tab w:val="left" w:pos="360"/>
                <w:tab w:val="left" w:pos="1134"/>
              </w:tabs>
              <w:spacing w:before="0" w:beforeAutospacing="0" w:after="0" w:afterAutospacing="0"/>
              <w:ind w:left="0" w:firstLine="851"/>
              <w:contextualSpacing/>
              <w:jc w:val="both"/>
              <w:rPr>
                <w:i/>
                <w:sz w:val="22"/>
                <w:szCs w:val="22"/>
              </w:rPr>
            </w:pPr>
            <w:r w:rsidRPr="00A00C29">
              <w:rPr>
                <w:i/>
                <w:sz w:val="22"/>
                <w:szCs w:val="22"/>
              </w:rPr>
              <w:t xml:space="preserve">Attiecībā uz grozījumiem18. panta pirmajā daļā par tās papildināšanu ar 30. punktu aicinām komisijā uzklausīt likumprojekta autorus un vērtēt, vai pienākums nodrošināt publiski pieejamu informāciju par nodokļu maksātājiem, kas noteiktajos termiņos nav iesnieguši nodokļu deklarācijas vai informatīvās deklarācijas ir piemērots līdzeklis noteiktā mērķa sasniegšanai un vai šī mērķa sasniegšanai nav citu saudzējošāku līdzekļu. </w:t>
            </w:r>
          </w:p>
          <w:p w:rsidR="0023009E" w:rsidRPr="000545F4" w:rsidRDefault="0023009E" w:rsidP="000545F4">
            <w:pPr>
              <w:tabs>
                <w:tab w:val="left" w:pos="360"/>
                <w:tab w:val="left" w:pos="1134"/>
              </w:tabs>
              <w:ind w:firstLine="851"/>
              <w:jc w:val="both"/>
              <w:rPr>
                <w:i/>
                <w:sz w:val="22"/>
              </w:rPr>
            </w:pPr>
            <w:r w:rsidRPr="00A00C29">
              <w:rPr>
                <w:i/>
                <w:sz w:val="22"/>
              </w:rPr>
              <w:t xml:space="preserve">Šai sakarā vēršam komisijas uzmanību, ka, Latvijas Administratīvo pārkāpumu kodekss paredz administratīvo atbildību personai, kura ir nokavējusi nodokļu vai informatīvo deklarāciju iesniegšanas termiņu, un tā ir paredzēta arī tad, ja deklarācijas </w:t>
            </w:r>
            <w:r w:rsidRPr="00A00C29">
              <w:rPr>
                <w:i/>
                <w:sz w:val="22"/>
              </w:rPr>
              <w:lastRenderedPageBreak/>
              <w:t>iesniegšanas termiņš ir nokavēts par vienu dienu, attiecīgi paaugstinot iespējamo administratīvo atbildību par lielāku termiņa nokavējuma (sk. Latvijas Administratīvo pārkāpumu kodeksa 159.</w:t>
            </w:r>
            <w:r w:rsidRPr="00A00C29">
              <w:rPr>
                <w:i/>
                <w:sz w:val="22"/>
                <w:vertAlign w:val="superscript"/>
              </w:rPr>
              <w:t>8</w:t>
            </w:r>
            <w:r w:rsidRPr="00A00C29">
              <w:rPr>
                <w:i/>
                <w:sz w:val="22"/>
              </w:rPr>
              <w:t xml:space="preserve"> pantu). Administratīvais sods par attiecīgo pārkāpumu tiek noteikts atkarībā no tā, vai termiņš ir kavēts līdz 15 kalendāra dienām, 16-30 kalendāra dienām un vairāk par 30 kalendāra dienām. Salīdzinot likumprojektā ietverto regulējumu un Administratīvo pārkāpumu kodeksa 159.</w:t>
            </w:r>
            <w:r w:rsidRPr="00A00C29">
              <w:rPr>
                <w:i/>
                <w:sz w:val="22"/>
                <w:vertAlign w:val="superscript"/>
              </w:rPr>
              <w:t>8</w:t>
            </w:r>
            <w:r w:rsidRPr="00A00C29">
              <w:rPr>
                <w:i/>
                <w:sz w:val="22"/>
              </w:rPr>
              <w:t xml:space="preserve"> pantā ietverto regulējumu, nav saprotams, kāpēc attiecībā uz datu publiskošanu ir izvēlēts kritērijs - 10 dienu kavējums. Tāpat, pieņemot likumprojektā ietverto normu, būtu nepieciešams izvērtēt, kāpēc esošie līdzekļi (proti, administratīvā atbildība) nav pietiekami efektīvi, lai nodrošinātu nodokļu un informatīvo deklarāciju iesniegšanu likumā noteiktajos termiņos. </w:t>
            </w:r>
          </w:p>
        </w:tc>
        <w:tc>
          <w:tcPr>
            <w:tcW w:w="1559" w:type="dxa"/>
          </w:tcPr>
          <w:p w:rsidR="0023009E" w:rsidRPr="0023009E" w:rsidRDefault="0023009E" w:rsidP="0023009E">
            <w:pPr>
              <w:jc w:val="both"/>
              <w:rPr>
                <w:rFonts w:eastAsia="Times New Roman"/>
                <w:b/>
                <w:color w:val="000000" w:themeColor="text1"/>
                <w:sz w:val="22"/>
                <w:lang w:eastAsia="lv-LV"/>
              </w:rPr>
            </w:pPr>
            <w:r>
              <w:rPr>
                <w:rFonts w:eastAsia="Times New Roman"/>
                <w:b/>
                <w:color w:val="000000" w:themeColor="text1"/>
                <w:sz w:val="22"/>
                <w:lang w:eastAsia="lv-LV"/>
              </w:rPr>
              <w:lastRenderedPageBreak/>
              <w:t>Atbalstīt pēc būtības</w:t>
            </w:r>
          </w:p>
        </w:tc>
        <w:tc>
          <w:tcPr>
            <w:tcW w:w="1134" w:type="dxa"/>
          </w:tcPr>
          <w:p w:rsidR="0023009E" w:rsidRPr="00496988" w:rsidRDefault="0023009E" w:rsidP="00EF0E8C">
            <w:pPr>
              <w:ind w:firstLine="567"/>
              <w:jc w:val="both"/>
              <w:rPr>
                <w:rFonts w:eastAsia="Times New Roman"/>
                <w:color w:val="000000" w:themeColor="text1"/>
                <w:sz w:val="22"/>
                <w:lang w:eastAsia="lv-LV"/>
              </w:rPr>
            </w:pPr>
          </w:p>
        </w:tc>
      </w:tr>
      <w:tr w:rsidR="0023009E" w:rsidRPr="00496988" w:rsidTr="00EB7EDD">
        <w:tc>
          <w:tcPr>
            <w:tcW w:w="3403" w:type="dxa"/>
            <w:shd w:val="clear" w:color="auto" w:fill="auto"/>
          </w:tcPr>
          <w:p w:rsidR="0023009E" w:rsidRPr="00A575BA" w:rsidRDefault="0023009E" w:rsidP="00A575BA">
            <w:pPr>
              <w:pStyle w:val="tv213"/>
              <w:spacing w:before="0" w:beforeAutospacing="0" w:after="0" w:afterAutospacing="0"/>
              <w:ind w:firstLine="567"/>
              <w:jc w:val="both"/>
              <w:rPr>
                <w:sz w:val="22"/>
                <w:szCs w:val="22"/>
              </w:rPr>
            </w:pPr>
            <w:r w:rsidRPr="00A575BA">
              <w:rPr>
                <w:b/>
                <w:bCs/>
                <w:sz w:val="22"/>
                <w:szCs w:val="22"/>
              </w:rPr>
              <w:lastRenderedPageBreak/>
              <w:t>8.pants. Valsts nodokļu veidi un tiem atbilstošie likumi</w:t>
            </w:r>
          </w:p>
          <w:p w:rsidR="0023009E" w:rsidRPr="00A575BA" w:rsidRDefault="0023009E" w:rsidP="00A575BA">
            <w:pPr>
              <w:pStyle w:val="tv213"/>
              <w:spacing w:before="0" w:beforeAutospacing="0" w:after="0" w:afterAutospacing="0"/>
              <w:ind w:firstLine="567"/>
              <w:jc w:val="both"/>
              <w:rPr>
                <w:sz w:val="22"/>
                <w:szCs w:val="22"/>
              </w:rPr>
            </w:pPr>
            <w:r w:rsidRPr="00A575BA">
              <w:rPr>
                <w:sz w:val="22"/>
                <w:szCs w:val="22"/>
              </w:rPr>
              <w:t>Latvijas Republikā ir šādi valsts nodokļi un tiem atbilstošie likumi par nodokļu uzlikšanu:</w:t>
            </w:r>
          </w:p>
          <w:p w:rsidR="0023009E" w:rsidRPr="00A575BA" w:rsidRDefault="0023009E" w:rsidP="00A575BA">
            <w:pPr>
              <w:pStyle w:val="tv213"/>
              <w:spacing w:before="0" w:beforeAutospacing="0" w:after="0" w:afterAutospacing="0"/>
              <w:ind w:firstLine="567"/>
              <w:jc w:val="both"/>
              <w:rPr>
                <w:sz w:val="22"/>
                <w:szCs w:val="22"/>
              </w:rPr>
            </w:pPr>
            <w:r w:rsidRPr="00A575BA">
              <w:rPr>
                <w:sz w:val="22"/>
                <w:szCs w:val="22"/>
              </w:rPr>
              <w:t>1) iedzīvotāju ienākuma nodoklis — "Par iedzīvotāju ienākuma nodokli";</w:t>
            </w:r>
          </w:p>
          <w:p w:rsidR="0023009E" w:rsidRPr="00A575BA" w:rsidRDefault="0023009E" w:rsidP="00A575BA">
            <w:pPr>
              <w:pStyle w:val="tv213"/>
              <w:spacing w:before="0" w:beforeAutospacing="0" w:after="0" w:afterAutospacing="0"/>
              <w:ind w:firstLine="567"/>
              <w:jc w:val="both"/>
              <w:rPr>
                <w:sz w:val="22"/>
                <w:szCs w:val="22"/>
              </w:rPr>
            </w:pPr>
            <w:r w:rsidRPr="00A575BA">
              <w:rPr>
                <w:sz w:val="22"/>
                <w:szCs w:val="22"/>
              </w:rPr>
              <w:t>2) uzņēmumu ienākuma nodoklis — "Par uzņēmumu ienākuma nodokli";</w:t>
            </w:r>
          </w:p>
          <w:p w:rsidR="0023009E" w:rsidRPr="00A575BA" w:rsidRDefault="0023009E" w:rsidP="00A575BA">
            <w:pPr>
              <w:pStyle w:val="tv213"/>
              <w:spacing w:before="0" w:beforeAutospacing="0" w:after="0" w:afterAutospacing="0"/>
              <w:ind w:firstLine="567"/>
              <w:jc w:val="both"/>
              <w:rPr>
                <w:sz w:val="22"/>
                <w:szCs w:val="22"/>
              </w:rPr>
            </w:pPr>
            <w:r w:rsidRPr="00A575BA">
              <w:rPr>
                <w:sz w:val="22"/>
                <w:szCs w:val="22"/>
              </w:rPr>
              <w:t>3) nekustamā īpašuma nodoklis — "Par nekustamā īpašuma nodokli";</w:t>
            </w:r>
          </w:p>
          <w:p w:rsidR="0023009E" w:rsidRPr="00A575BA" w:rsidRDefault="0023009E" w:rsidP="00A575BA">
            <w:pPr>
              <w:pStyle w:val="tv213"/>
              <w:spacing w:before="0" w:beforeAutospacing="0" w:after="0" w:afterAutospacing="0"/>
              <w:ind w:firstLine="567"/>
              <w:jc w:val="both"/>
              <w:rPr>
                <w:sz w:val="22"/>
                <w:szCs w:val="22"/>
              </w:rPr>
            </w:pPr>
            <w:r w:rsidRPr="00A575BA">
              <w:rPr>
                <w:sz w:val="22"/>
                <w:szCs w:val="22"/>
              </w:rPr>
              <w:lastRenderedPageBreak/>
              <w:t>4) pievienotās vērtības nodoklis — Pievienotās vērtības nodokļa likums;</w:t>
            </w:r>
          </w:p>
          <w:p w:rsidR="0023009E" w:rsidRPr="00A575BA" w:rsidRDefault="0023009E" w:rsidP="00A575BA">
            <w:pPr>
              <w:pStyle w:val="tv213"/>
              <w:spacing w:before="0" w:beforeAutospacing="0" w:after="0" w:afterAutospacing="0"/>
              <w:ind w:firstLine="567"/>
              <w:jc w:val="both"/>
              <w:rPr>
                <w:sz w:val="22"/>
                <w:szCs w:val="22"/>
              </w:rPr>
            </w:pPr>
            <w:r w:rsidRPr="00A575BA">
              <w:rPr>
                <w:sz w:val="22"/>
                <w:szCs w:val="22"/>
              </w:rPr>
              <w:t>5) akcīzes nodoklis — "Par akcīzes nodokli";</w:t>
            </w:r>
          </w:p>
          <w:p w:rsidR="0023009E" w:rsidRPr="00A575BA" w:rsidRDefault="0023009E" w:rsidP="00A575BA">
            <w:pPr>
              <w:pStyle w:val="tv213"/>
              <w:spacing w:before="0" w:beforeAutospacing="0" w:after="0" w:afterAutospacing="0"/>
              <w:ind w:firstLine="567"/>
              <w:jc w:val="both"/>
              <w:rPr>
                <w:sz w:val="22"/>
                <w:szCs w:val="22"/>
              </w:rPr>
            </w:pPr>
            <w:r w:rsidRPr="00A575BA">
              <w:rPr>
                <w:sz w:val="22"/>
                <w:szCs w:val="22"/>
              </w:rPr>
              <w:t>6) muitas nodoklis — Muitas likums un citi muitas lietās noteikto kārtību reglamentējoši normatīvie akti;</w:t>
            </w:r>
          </w:p>
          <w:p w:rsidR="0023009E" w:rsidRPr="00A575BA" w:rsidRDefault="0023009E" w:rsidP="00A575BA">
            <w:pPr>
              <w:pStyle w:val="tv213"/>
              <w:spacing w:before="0" w:beforeAutospacing="0" w:after="0" w:afterAutospacing="0"/>
              <w:ind w:firstLine="567"/>
              <w:jc w:val="both"/>
              <w:rPr>
                <w:sz w:val="22"/>
                <w:szCs w:val="22"/>
              </w:rPr>
            </w:pPr>
            <w:r w:rsidRPr="00A575BA">
              <w:rPr>
                <w:sz w:val="22"/>
                <w:szCs w:val="22"/>
              </w:rPr>
              <w:t>7) dabas resursu nodoklis — Dabas resursu nodokļa likums;</w:t>
            </w:r>
          </w:p>
          <w:p w:rsidR="0023009E" w:rsidRPr="00A575BA" w:rsidRDefault="0023009E" w:rsidP="00A575BA">
            <w:pPr>
              <w:pStyle w:val="tv213"/>
              <w:spacing w:before="0" w:beforeAutospacing="0" w:after="0" w:afterAutospacing="0"/>
              <w:ind w:firstLine="567"/>
              <w:jc w:val="both"/>
              <w:rPr>
                <w:sz w:val="22"/>
                <w:szCs w:val="22"/>
              </w:rPr>
            </w:pPr>
            <w:r w:rsidRPr="00A575BA">
              <w:rPr>
                <w:sz w:val="22"/>
                <w:szCs w:val="22"/>
              </w:rPr>
              <w:t>8) izložu un azartspēļu nodoklis — "Par izložu un azartspēļu nodevu un nodokli";</w:t>
            </w:r>
          </w:p>
          <w:p w:rsidR="0023009E" w:rsidRPr="00A575BA" w:rsidRDefault="0023009E" w:rsidP="00A575BA">
            <w:pPr>
              <w:pStyle w:val="tv213"/>
              <w:spacing w:before="0" w:beforeAutospacing="0" w:after="0" w:afterAutospacing="0"/>
              <w:ind w:firstLine="567"/>
              <w:jc w:val="both"/>
              <w:rPr>
                <w:sz w:val="22"/>
                <w:szCs w:val="22"/>
              </w:rPr>
            </w:pPr>
            <w:r w:rsidRPr="00A575BA">
              <w:rPr>
                <w:sz w:val="22"/>
                <w:szCs w:val="22"/>
              </w:rPr>
              <w:t>9) valsts sociālās apdrošināšanas obligātās iemaksas — "Par valsts sociālo apdrošināšanu";</w:t>
            </w:r>
          </w:p>
          <w:p w:rsidR="0023009E" w:rsidRPr="00A575BA" w:rsidRDefault="0023009E" w:rsidP="00A575BA">
            <w:pPr>
              <w:pStyle w:val="tv213"/>
              <w:spacing w:before="0" w:beforeAutospacing="0" w:after="0" w:afterAutospacing="0"/>
              <w:ind w:firstLine="567"/>
              <w:jc w:val="both"/>
              <w:rPr>
                <w:sz w:val="22"/>
                <w:szCs w:val="22"/>
              </w:rPr>
            </w:pPr>
            <w:r w:rsidRPr="00A575BA">
              <w:rPr>
                <w:sz w:val="22"/>
                <w:szCs w:val="22"/>
              </w:rPr>
              <w:t>10)</w:t>
            </w:r>
            <w:r w:rsidRPr="00A575BA">
              <w:rPr>
                <w:rStyle w:val="fontsize2"/>
                <w:sz w:val="22"/>
                <w:szCs w:val="22"/>
              </w:rPr>
              <w:t xml:space="preserve"> (izslēgts ar 08.06.2017. likumu)</w:t>
            </w:r>
            <w:r w:rsidRPr="00A575BA">
              <w:rPr>
                <w:sz w:val="22"/>
                <w:szCs w:val="22"/>
              </w:rPr>
              <w:t>;</w:t>
            </w:r>
          </w:p>
          <w:p w:rsidR="0023009E" w:rsidRPr="00A575BA" w:rsidRDefault="0023009E" w:rsidP="00A575BA">
            <w:pPr>
              <w:pStyle w:val="tv213"/>
              <w:spacing w:before="0" w:beforeAutospacing="0" w:after="0" w:afterAutospacing="0"/>
              <w:ind w:firstLine="567"/>
              <w:jc w:val="both"/>
              <w:rPr>
                <w:sz w:val="22"/>
                <w:szCs w:val="22"/>
              </w:rPr>
            </w:pPr>
            <w:r w:rsidRPr="00A575BA">
              <w:rPr>
                <w:sz w:val="22"/>
                <w:szCs w:val="22"/>
              </w:rPr>
              <w:t>11) elektroenerģijas nodoklis — Elektroenerģijas nodokļa likums;</w:t>
            </w:r>
          </w:p>
          <w:p w:rsidR="0023009E" w:rsidRPr="00A575BA" w:rsidRDefault="0023009E" w:rsidP="00A575BA">
            <w:pPr>
              <w:pStyle w:val="tv213"/>
              <w:spacing w:before="0" w:beforeAutospacing="0" w:after="0" w:afterAutospacing="0"/>
              <w:ind w:firstLine="567"/>
              <w:jc w:val="both"/>
              <w:rPr>
                <w:sz w:val="22"/>
                <w:szCs w:val="22"/>
              </w:rPr>
            </w:pPr>
            <w:r w:rsidRPr="00A575BA">
              <w:rPr>
                <w:sz w:val="22"/>
                <w:szCs w:val="22"/>
              </w:rPr>
              <w:t>12) mikrouzņēmumu nodoklis — Mikrouzņēmumu nodokļa likums;</w:t>
            </w:r>
          </w:p>
          <w:p w:rsidR="0023009E" w:rsidRPr="00A575BA" w:rsidRDefault="0023009E" w:rsidP="00A575BA">
            <w:pPr>
              <w:pStyle w:val="tv213"/>
              <w:spacing w:before="0" w:beforeAutospacing="0" w:after="0" w:afterAutospacing="0"/>
              <w:ind w:firstLine="567"/>
              <w:jc w:val="both"/>
              <w:rPr>
                <w:sz w:val="22"/>
                <w:szCs w:val="22"/>
              </w:rPr>
            </w:pPr>
            <w:r w:rsidRPr="00A575BA">
              <w:rPr>
                <w:sz w:val="22"/>
                <w:szCs w:val="22"/>
              </w:rPr>
              <w:t>13) transportlīdzekļa ekspluatācijas nodoklis — Transportlīdzekļa ekspluatācijas nodokļa un uzņēmumu vieglo transportlīdzekļu nodokļa likums;</w:t>
            </w:r>
          </w:p>
          <w:p w:rsidR="0023009E" w:rsidRPr="00A575BA" w:rsidRDefault="0023009E" w:rsidP="00A575BA">
            <w:pPr>
              <w:pStyle w:val="tv213"/>
              <w:spacing w:before="0" w:beforeAutospacing="0" w:after="0" w:afterAutospacing="0"/>
              <w:ind w:firstLine="567"/>
              <w:jc w:val="both"/>
              <w:rPr>
                <w:sz w:val="22"/>
                <w:szCs w:val="22"/>
              </w:rPr>
            </w:pPr>
            <w:r w:rsidRPr="00A575BA">
              <w:rPr>
                <w:sz w:val="22"/>
                <w:szCs w:val="22"/>
              </w:rPr>
              <w:t>14) uzņēmumu vieglo transportlīdzekļu nodoklis — Transportlīdzekļa ekspluatācijas nodokļa un uzņēmumu vieglo transportlīdzekļu nodokļa likums;</w:t>
            </w:r>
          </w:p>
          <w:p w:rsidR="0023009E" w:rsidRPr="00A575BA" w:rsidRDefault="0023009E" w:rsidP="00A575BA">
            <w:pPr>
              <w:pStyle w:val="tv213"/>
              <w:spacing w:before="0" w:beforeAutospacing="0" w:after="0" w:afterAutospacing="0"/>
              <w:ind w:firstLine="567"/>
              <w:jc w:val="both"/>
              <w:rPr>
                <w:sz w:val="22"/>
                <w:szCs w:val="22"/>
              </w:rPr>
            </w:pPr>
            <w:r w:rsidRPr="00A575BA">
              <w:rPr>
                <w:sz w:val="22"/>
                <w:szCs w:val="22"/>
              </w:rPr>
              <w:t xml:space="preserve">15) subsidētās elektroenerģijas nodoklis — </w:t>
            </w:r>
            <w:r w:rsidRPr="00A575BA">
              <w:rPr>
                <w:sz w:val="22"/>
                <w:szCs w:val="22"/>
              </w:rPr>
              <w:lastRenderedPageBreak/>
              <w:t>Subsidētās elektroenerģijas nodokļa likums;</w:t>
            </w:r>
          </w:p>
          <w:p w:rsidR="0023009E" w:rsidRPr="00A575BA" w:rsidRDefault="0023009E" w:rsidP="00A575BA">
            <w:pPr>
              <w:pStyle w:val="tv213"/>
              <w:spacing w:before="0" w:beforeAutospacing="0" w:after="0" w:afterAutospacing="0"/>
              <w:ind w:firstLine="567"/>
              <w:jc w:val="both"/>
              <w:rPr>
                <w:sz w:val="22"/>
                <w:szCs w:val="22"/>
              </w:rPr>
            </w:pPr>
            <w:r w:rsidRPr="00A575BA">
              <w:rPr>
                <w:sz w:val="22"/>
                <w:szCs w:val="22"/>
              </w:rPr>
              <w:t>16) solidaritātes nodoklis — Solidaritātes nodokļa likums.</w:t>
            </w:r>
          </w:p>
          <w:p w:rsidR="0023009E" w:rsidRPr="0034469C" w:rsidRDefault="0023009E" w:rsidP="00EF0E8C">
            <w:pPr>
              <w:pStyle w:val="tv213"/>
              <w:spacing w:before="0" w:beforeAutospacing="0" w:after="0" w:afterAutospacing="0"/>
              <w:ind w:firstLine="567"/>
              <w:jc w:val="both"/>
              <w:rPr>
                <w:b/>
                <w:bCs/>
                <w:sz w:val="22"/>
                <w:szCs w:val="22"/>
              </w:rPr>
            </w:pPr>
          </w:p>
        </w:tc>
        <w:tc>
          <w:tcPr>
            <w:tcW w:w="3827" w:type="dxa"/>
            <w:shd w:val="clear" w:color="auto" w:fill="auto"/>
          </w:tcPr>
          <w:p w:rsidR="0023009E" w:rsidRPr="00722021" w:rsidRDefault="0023009E" w:rsidP="00271EF7">
            <w:pPr>
              <w:ind w:firstLine="567"/>
              <w:jc w:val="both"/>
              <w:rPr>
                <w:rFonts w:eastAsia="Times New Roman"/>
                <w:sz w:val="22"/>
                <w:lang w:eastAsia="lv-LV"/>
              </w:rPr>
            </w:pPr>
          </w:p>
        </w:tc>
        <w:tc>
          <w:tcPr>
            <w:tcW w:w="1418" w:type="dxa"/>
          </w:tcPr>
          <w:p w:rsidR="0023009E" w:rsidRPr="00496988" w:rsidRDefault="0023009E" w:rsidP="00EF0E8C">
            <w:pPr>
              <w:jc w:val="center"/>
              <w:rPr>
                <w:rFonts w:eastAsia="Times New Roman"/>
                <w:b/>
                <w:color w:val="000000" w:themeColor="text1"/>
                <w:sz w:val="22"/>
                <w:lang w:eastAsia="lv-LV"/>
              </w:rPr>
            </w:pPr>
            <w:r>
              <w:rPr>
                <w:rFonts w:eastAsia="Times New Roman"/>
                <w:b/>
                <w:color w:val="000000" w:themeColor="text1"/>
                <w:sz w:val="22"/>
                <w:lang w:eastAsia="lv-LV"/>
              </w:rPr>
              <w:t>2</w:t>
            </w:r>
          </w:p>
        </w:tc>
        <w:tc>
          <w:tcPr>
            <w:tcW w:w="3827" w:type="dxa"/>
          </w:tcPr>
          <w:p w:rsidR="0023009E" w:rsidRDefault="0023009E" w:rsidP="00EF0E8C">
            <w:pPr>
              <w:ind w:firstLine="567"/>
              <w:jc w:val="both"/>
              <w:rPr>
                <w:rFonts w:eastAsia="Times New Roman"/>
                <w:b/>
                <w:sz w:val="22"/>
                <w:u w:val="single"/>
                <w:lang w:eastAsia="lv-LV"/>
              </w:rPr>
            </w:pPr>
            <w:r w:rsidRPr="00693415">
              <w:rPr>
                <w:rFonts w:eastAsia="Times New Roman"/>
                <w:b/>
                <w:sz w:val="22"/>
                <w:u w:val="single"/>
                <w:lang w:eastAsia="lv-LV"/>
              </w:rPr>
              <w:t>Frakcija “No sirds Latvijai”</w:t>
            </w:r>
          </w:p>
          <w:p w:rsidR="0023009E" w:rsidRPr="00693415" w:rsidRDefault="0023009E" w:rsidP="00693415">
            <w:pPr>
              <w:tabs>
                <w:tab w:val="left" w:pos="1220"/>
              </w:tabs>
              <w:ind w:firstLine="567"/>
              <w:contextualSpacing/>
              <w:jc w:val="both"/>
              <w:rPr>
                <w:sz w:val="22"/>
              </w:rPr>
            </w:pPr>
            <w:r w:rsidRPr="00693415">
              <w:rPr>
                <w:sz w:val="22"/>
              </w:rPr>
              <w:t>Papildināt likumu ar jaunu 8.</w:t>
            </w:r>
            <w:r w:rsidRPr="00693415">
              <w:rPr>
                <w:sz w:val="22"/>
                <w:vertAlign w:val="superscript"/>
              </w:rPr>
              <w:t>1</w:t>
            </w:r>
            <w:r w:rsidRPr="00693415">
              <w:rPr>
                <w:sz w:val="22"/>
              </w:rPr>
              <w:t xml:space="preserve"> pantu šādā redakcijā: </w:t>
            </w:r>
          </w:p>
          <w:p w:rsidR="0023009E" w:rsidRPr="00693415" w:rsidRDefault="0023009E" w:rsidP="00693415">
            <w:pPr>
              <w:pStyle w:val="ListParagraph"/>
              <w:tabs>
                <w:tab w:val="left" w:pos="1220"/>
              </w:tabs>
              <w:spacing w:before="0" w:beforeAutospacing="0" w:after="0" w:afterAutospacing="0"/>
              <w:ind w:firstLine="567"/>
              <w:jc w:val="both"/>
              <w:rPr>
                <w:sz w:val="22"/>
                <w:szCs w:val="22"/>
              </w:rPr>
            </w:pPr>
            <w:r w:rsidRPr="00693415">
              <w:rPr>
                <w:sz w:val="22"/>
                <w:szCs w:val="22"/>
              </w:rPr>
              <w:t xml:space="preserve"> “8.</w:t>
            </w:r>
            <w:r w:rsidRPr="00693415">
              <w:rPr>
                <w:sz w:val="22"/>
                <w:szCs w:val="22"/>
                <w:vertAlign w:val="superscript"/>
              </w:rPr>
              <w:t>1</w:t>
            </w:r>
            <w:r w:rsidRPr="00693415">
              <w:rPr>
                <w:sz w:val="22"/>
                <w:szCs w:val="22"/>
              </w:rPr>
              <w:t xml:space="preserve"> pants. Nodokļu slogs</w:t>
            </w:r>
          </w:p>
          <w:p w:rsidR="0023009E" w:rsidRPr="002E259F" w:rsidRDefault="0023009E" w:rsidP="00693415">
            <w:pPr>
              <w:ind w:firstLine="567"/>
              <w:jc w:val="both"/>
              <w:rPr>
                <w:b/>
                <w:sz w:val="22"/>
                <w:u w:val="single"/>
              </w:rPr>
            </w:pPr>
            <w:r w:rsidRPr="00693415">
              <w:rPr>
                <w:rFonts w:eastAsia="Times New Roman"/>
                <w:sz w:val="22"/>
                <w:lang w:eastAsia="lv-LV"/>
              </w:rPr>
              <w:t>Nodokļu maksātajam - fiziskai personai kopējais nodokļu slogs, kā arī valsts un pašvaldību nodevu apmērs kalendārajā gadā nevar pārsniegt 58% no gūtajiem ienākumiem. Finanšu ministrija ik gadu veic nodokļu sloga aprēķinu.”</w:t>
            </w:r>
            <w:r>
              <w:rPr>
                <w:rStyle w:val="EndnoteReference"/>
                <w:rFonts w:eastAsia="Times New Roman"/>
                <w:sz w:val="22"/>
                <w:lang w:eastAsia="lv-LV"/>
              </w:rPr>
              <w:endnoteReference w:id="1"/>
            </w:r>
          </w:p>
        </w:tc>
        <w:tc>
          <w:tcPr>
            <w:tcW w:w="1559" w:type="dxa"/>
          </w:tcPr>
          <w:p w:rsidR="0023009E" w:rsidRPr="0023009E" w:rsidRDefault="0023009E" w:rsidP="0023009E">
            <w:pPr>
              <w:jc w:val="both"/>
              <w:rPr>
                <w:rFonts w:eastAsia="Times New Roman"/>
                <w:b/>
                <w:color w:val="000000" w:themeColor="text1"/>
                <w:sz w:val="22"/>
                <w:lang w:eastAsia="lv-LV"/>
              </w:rPr>
            </w:pPr>
            <w:r w:rsidRPr="0023009E">
              <w:rPr>
                <w:rFonts w:eastAsia="Times New Roman"/>
                <w:b/>
                <w:color w:val="000000" w:themeColor="text1"/>
                <w:sz w:val="22"/>
                <w:lang w:eastAsia="lv-LV"/>
              </w:rPr>
              <w:t>Neatbalstīt</w:t>
            </w:r>
          </w:p>
        </w:tc>
        <w:tc>
          <w:tcPr>
            <w:tcW w:w="1134" w:type="dxa"/>
          </w:tcPr>
          <w:p w:rsidR="0023009E" w:rsidRPr="00496988" w:rsidRDefault="0023009E" w:rsidP="00EF0E8C">
            <w:pPr>
              <w:ind w:firstLine="567"/>
              <w:jc w:val="both"/>
              <w:rPr>
                <w:rFonts w:eastAsia="Times New Roman"/>
                <w:color w:val="000000" w:themeColor="text1"/>
                <w:sz w:val="22"/>
                <w:lang w:eastAsia="lv-LV"/>
              </w:rPr>
            </w:pPr>
          </w:p>
        </w:tc>
      </w:tr>
      <w:tr w:rsidR="0023009E" w:rsidRPr="00496988" w:rsidTr="00EB7EDD">
        <w:tc>
          <w:tcPr>
            <w:tcW w:w="3403" w:type="dxa"/>
            <w:shd w:val="clear" w:color="auto" w:fill="auto"/>
          </w:tcPr>
          <w:p w:rsidR="0023009E" w:rsidRPr="0034469C" w:rsidRDefault="0023009E" w:rsidP="00EF0E8C">
            <w:pPr>
              <w:pStyle w:val="tv213"/>
              <w:spacing w:before="0" w:beforeAutospacing="0" w:after="0" w:afterAutospacing="0"/>
              <w:ind w:firstLine="567"/>
              <w:jc w:val="both"/>
              <w:rPr>
                <w:b/>
                <w:bCs/>
                <w:sz w:val="22"/>
                <w:szCs w:val="22"/>
              </w:rPr>
            </w:pPr>
            <w:r w:rsidRPr="0034469C">
              <w:rPr>
                <w:b/>
                <w:bCs/>
                <w:sz w:val="22"/>
                <w:szCs w:val="22"/>
              </w:rPr>
              <w:lastRenderedPageBreak/>
              <w:t>15.pants. Nodokļu maksātāju pienākumi</w:t>
            </w:r>
          </w:p>
          <w:p w:rsidR="0023009E" w:rsidRPr="0034469C" w:rsidRDefault="0023009E" w:rsidP="00EF0E8C">
            <w:pPr>
              <w:pStyle w:val="tv213"/>
              <w:spacing w:before="0" w:beforeAutospacing="0" w:after="0" w:afterAutospacing="0"/>
              <w:ind w:firstLine="567"/>
              <w:jc w:val="both"/>
              <w:rPr>
                <w:sz w:val="22"/>
                <w:szCs w:val="22"/>
              </w:rPr>
            </w:pPr>
            <w:r w:rsidRPr="0034469C">
              <w:rPr>
                <w:sz w:val="22"/>
                <w:szCs w:val="22"/>
              </w:rPr>
              <w:t>(3) Fiziskajām personām, ja tās ir darba devēji, un komercsabiedrībām, kooperatīvajām sabiedrībām un citām privāto tiesību juridiskajām personām kā nodokļu maksātājiem ir šādi papildu pienākumi:</w:t>
            </w:r>
          </w:p>
          <w:p w:rsidR="0023009E" w:rsidRPr="00496988" w:rsidRDefault="0023009E" w:rsidP="00EF0E8C">
            <w:pPr>
              <w:pStyle w:val="tv213"/>
              <w:spacing w:before="0" w:beforeAutospacing="0" w:after="0" w:afterAutospacing="0"/>
              <w:ind w:firstLine="567"/>
              <w:jc w:val="both"/>
              <w:rPr>
                <w:color w:val="000000" w:themeColor="text1"/>
                <w:sz w:val="22"/>
                <w:szCs w:val="22"/>
              </w:rPr>
            </w:pPr>
            <w:r w:rsidRPr="0034469C">
              <w:rPr>
                <w:sz w:val="22"/>
                <w:szCs w:val="22"/>
              </w:rPr>
              <w:t>9) komercsabiedrībai, kooperatīvajai sabiedrībai un citai privāto tiesību juridiskajai personai deklarēt Valsts ieņēmumu dienestā ārvalstīs atvērtos pieprasījuma noguldījumu kontus 30 dienu laikā pēc to atvēršanas.</w:t>
            </w:r>
          </w:p>
        </w:tc>
        <w:tc>
          <w:tcPr>
            <w:tcW w:w="3827" w:type="dxa"/>
            <w:shd w:val="clear" w:color="auto" w:fill="auto"/>
          </w:tcPr>
          <w:p w:rsidR="0023009E" w:rsidRPr="00722021" w:rsidRDefault="0023009E" w:rsidP="00271EF7">
            <w:pPr>
              <w:ind w:firstLine="567"/>
              <w:jc w:val="both"/>
              <w:rPr>
                <w:rFonts w:eastAsia="Times New Roman"/>
                <w:sz w:val="22"/>
                <w:lang w:eastAsia="lv-LV"/>
              </w:rPr>
            </w:pPr>
            <w:r w:rsidRPr="00722021">
              <w:rPr>
                <w:rFonts w:eastAsia="Times New Roman"/>
                <w:sz w:val="22"/>
                <w:lang w:eastAsia="lv-LV"/>
              </w:rPr>
              <w:t>1.  Papildināt 15. panta trešo daļu ar 10. punktu šādā redakcijā:</w:t>
            </w:r>
          </w:p>
          <w:p w:rsidR="0023009E" w:rsidRPr="00271EF7" w:rsidRDefault="0023009E" w:rsidP="00271EF7">
            <w:pPr>
              <w:ind w:firstLine="567"/>
              <w:jc w:val="both"/>
              <w:rPr>
                <w:rFonts w:eastAsia="Times New Roman"/>
                <w:sz w:val="22"/>
                <w:lang w:eastAsia="lv-LV"/>
              </w:rPr>
            </w:pPr>
            <w:r w:rsidRPr="00722021">
              <w:rPr>
                <w:rFonts w:eastAsia="Times New Roman"/>
                <w:sz w:val="22"/>
                <w:lang w:eastAsia="lv-LV"/>
              </w:rPr>
              <w:t> "10) lai pilnveidotu fizisko personu nodokļu nomaksas uzraudzību, kredītiestādei un maksājumu pakalpojumu sniedzējam, kas sniedz ar maksājumu kontu saistītu pakalpojumu, līdz 1. februārim iesniegt Valsts ieņēmumu dienestā informāciju par fizisko personu – Latvijas Republikas rezidentu, kura konta debeta vai kredīta apgrozījums iepriekšējā gadā ir pārsniedzis 15 000 </w:t>
            </w:r>
            <w:r w:rsidRPr="00722021">
              <w:rPr>
                <w:rFonts w:eastAsia="Times New Roman"/>
                <w:i/>
                <w:sz w:val="22"/>
                <w:lang w:eastAsia="lv-LV"/>
              </w:rPr>
              <w:t>euro</w:t>
            </w:r>
            <w:r w:rsidRPr="00722021">
              <w:rPr>
                <w:rFonts w:eastAsia="Times New Roman"/>
                <w:sz w:val="22"/>
                <w:lang w:eastAsia="lv-LV"/>
              </w:rPr>
              <w:t>, norādot bankas konta atlikumu iepriekšējā kalendāra gada 31. decembrī, kā arī bankas konta debeta un kredīta apgrozījumu par iepriekšējo gadu. Kārtību, kādā sniedzama minētā informācija, nosaka Ministru kabinets."</w:t>
            </w:r>
          </w:p>
        </w:tc>
        <w:tc>
          <w:tcPr>
            <w:tcW w:w="1418" w:type="dxa"/>
          </w:tcPr>
          <w:p w:rsidR="0023009E" w:rsidRDefault="0023009E" w:rsidP="00EF0E8C">
            <w:pPr>
              <w:jc w:val="center"/>
              <w:rPr>
                <w:rFonts w:eastAsia="Times New Roman"/>
                <w:b/>
                <w:color w:val="000000" w:themeColor="text1"/>
                <w:sz w:val="22"/>
                <w:lang w:eastAsia="lv-LV"/>
              </w:rPr>
            </w:pPr>
            <w:r>
              <w:rPr>
                <w:rFonts w:eastAsia="Times New Roman"/>
                <w:b/>
                <w:color w:val="000000" w:themeColor="text1"/>
                <w:sz w:val="22"/>
                <w:lang w:eastAsia="lv-LV"/>
              </w:rPr>
              <w:t>3</w:t>
            </w:r>
          </w:p>
          <w:p w:rsidR="0023009E" w:rsidRDefault="0023009E" w:rsidP="00EF0E8C">
            <w:pPr>
              <w:jc w:val="center"/>
              <w:rPr>
                <w:rFonts w:eastAsia="Times New Roman"/>
                <w:b/>
                <w:color w:val="000000" w:themeColor="text1"/>
                <w:sz w:val="22"/>
                <w:lang w:eastAsia="lv-LV"/>
              </w:rPr>
            </w:pPr>
          </w:p>
          <w:p w:rsidR="0023009E" w:rsidRDefault="0023009E" w:rsidP="00EF0E8C">
            <w:pPr>
              <w:jc w:val="center"/>
              <w:rPr>
                <w:rFonts w:eastAsia="Times New Roman"/>
                <w:b/>
                <w:color w:val="000000" w:themeColor="text1"/>
                <w:sz w:val="22"/>
                <w:lang w:eastAsia="lv-LV"/>
              </w:rPr>
            </w:pPr>
          </w:p>
          <w:p w:rsidR="0023009E" w:rsidRDefault="0023009E" w:rsidP="00EF0E8C">
            <w:pPr>
              <w:jc w:val="center"/>
              <w:rPr>
                <w:rFonts w:eastAsia="Times New Roman"/>
                <w:b/>
                <w:color w:val="000000" w:themeColor="text1"/>
                <w:sz w:val="22"/>
                <w:lang w:eastAsia="lv-LV"/>
              </w:rPr>
            </w:pPr>
          </w:p>
          <w:p w:rsidR="0023009E" w:rsidRDefault="0023009E" w:rsidP="00EF0E8C">
            <w:pPr>
              <w:jc w:val="center"/>
              <w:rPr>
                <w:rFonts w:eastAsia="Times New Roman"/>
                <w:b/>
                <w:color w:val="000000" w:themeColor="text1"/>
                <w:sz w:val="22"/>
                <w:lang w:eastAsia="lv-LV"/>
              </w:rPr>
            </w:pPr>
          </w:p>
          <w:p w:rsidR="0023009E" w:rsidRDefault="0023009E" w:rsidP="00EF0E8C">
            <w:pPr>
              <w:jc w:val="center"/>
              <w:rPr>
                <w:rFonts w:eastAsia="Times New Roman"/>
                <w:b/>
                <w:color w:val="000000" w:themeColor="text1"/>
                <w:sz w:val="22"/>
                <w:lang w:eastAsia="lv-LV"/>
              </w:rPr>
            </w:pPr>
          </w:p>
          <w:p w:rsidR="0023009E" w:rsidRPr="00496988" w:rsidRDefault="0023009E" w:rsidP="00EF0E8C">
            <w:pPr>
              <w:jc w:val="center"/>
              <w:rPr>
                <w:rFonts w:eastAsia="Times New Roman"/>
                <w:b/>
                <w:color w:val="000000" w:themeColor="text1"/>
                <w:sz w:val="22"/>
                <w:lang w:eastAsia="lv-LV"/>
              </w:rPr>
            </w:pPr>
            <w:r>
              <w:rPr>
                <w:rFonts w:eastAsia="Times New Roman"/>
                <w:b/>
                <w:color w:val="000000" w:themeColor="text1"/>
                <w:sz w:val="22"/>
                <w:lang w:eastAsia="lv-LV"/>
              </w:rPr>
              <w:t>4</w:t>
            </w:r>
          </w:p>
        </w:tc>
        <w:tc>
          <w:tcPr>
            <w:tcW w:w="3827" w:type="dxa"/>
          </w:tcPr>
          <w:p w:rsidR="0023009E" w:rsidRPr="002E259F" w:rsidRDefault="0023009E" w:rsidP="00EF0E8C">
            <w:pPr>
              <w:ind w:firstLine="567"/>
              <w:jc w:val="both"/>
              <w:rPr>
                <w:b/>
                <w:sz w:val="22"/>
                <w:u w:val="single"/>
              </w:rPr>
            </w:pPr>
            <w:r w:rsidRPr="002E259F">
              <w:rPr>
                <w:b/>
                <w:sz w:val="22"/>
                <w:u w:val="single"/>
              </w:rPr>
              <w:t>Finanšu ministre D.Reizniece–Ozola</w:t>
            </w:r>
          </w:p>
          <w:p w:rsidR="0023009E" w:rsidRDefault="0023009E" w:rsidP="00EF0E8C">
            <w:pPr>
              <w:ind w:firstLine="567"/>
              <w:jc w:val="both"/>
              <w:rPr>
                <w:sz w:val="22"/>
              </w:rPr>
            </w:pPr>
            <w:r w:rsidRPr="00F01380">
              <w:rPr>
                <w:sz w:val="22"/>
              </w:rPr>
              <w:t>Svītrot likumprojekta 1. pantu, attiecīgi mainot likumprojektā iekļauto pantu numerāciju.</w:t>
            </w:r>
          </w:p>
          <w:p w:rsidR="0023009E" w:rsidRDefault="0023009E" w:rsidP="00EF0E8C">
            <w:pPr>
              <w:ind w:firstLine="567"/>
              <w:jc w:val="both"/>
              <w:rPr>
                <w:sz w:val="22"/>
              </w:rPr>
            </w:pPr>
          </w:p>
          <w:p w:rsidR="0023009E" w:rsidRPr="00693415" w:rsidRDefault="0023009E" w:rsidP="00693415">
            <w:pPr>
              <w:ind w:firstLine="567"/>
              <w:jc w:val="both"/>
              <w:rPr>
                <w:rFonts w:eastAsia="Times New Roman"/>
                <w:b/>
                <w:sz w:val="22"/>
                <w:u w:val="single"/>
                <w:lang w:eastAsia="lv-LV"/>
              </w:rPr>
            </w:pPr>
            <w:r w:rsidRPr="00693415">
              <w:rPr>
                <w:rFonts w:eastAsia="Times New Roman"/>
                <w:b/>
                <w:sz w:val="22"/>
                <w:u w:val="single"/>
                <w:lang w:eastAsia="lv-LV"/>
              </w:rPr>
              <w:t>Frakcija “No sirds Latvijai”</w:t>
            </w:r>
          </w:p>
          <w:p w:rsidR="0023009E" w:rsidRPr="00693415" w:rsidRDefault="0023009E" w:rsidP="00693415">
            <w:pPr>
              <w:tabs>
                <w:tab w:val="left" w:pos="1220"/>
              </w:tabs>
              <w:ind w:firstLine="567"/>
              <w:contextualSpacing/>
              <w:jc w:val="both"/>
              <w:rPr>
                <w:sz w:val="22"/>
              </w:rPr>
            </w:pPr>
            <w:r w:rsidRPr="00693415">
              <w:rPr>
                <w:sz w:val="22"/>
              </w:rPr>
              <w:t>Izslēgt likumprojekta 1.pantu.</w:t>
            </w:r>
          </w:p>
          <w:p w:rsidR="0023009E" w:rsidRPr="00693415" w:rsidRDefault="0023009E" w:rsidP="00EF0E8C">
            <w:pPr>
              <w:ind w:firstLine="567"/>
              <w:jc w:val="both"/>
              <w:rPr>
                <w:rFonts w:eastAsia="Times New Roman"/>
                <w:b/>
                <w:color w:val="000000" w:themeColor="text1"/>
                <w:sz w:val="22"/>
                <w:u w:val="single"/>
                <w:lang w:eastAsia="lv-LV"/>
              </w:rPr>
            </w:pPr>
          </w:p>
        </w:tc>
        <w:tc>
          <w:tcPr>
            <w:tcW w:w="1559" w:type="dxa"/>
          </w:tcPr>
          <w:p w:rsidR="0023009E" w:rsidRDefault="0023009E" w:rsidP="0023009E">
            <w:pPr>
              <w:jc w:val="both"/>
              <w:rPr>
                <w:rFonts w:eastAsia="Times New Roman"/>
                <w:b/>
                <w:color w:val="000000" w:themeColor="text1"/>
                <w:sz w:val="22"/>
                <w:lang w:eastAsia="lv-LV"/>
              </w:rPr>
            </w:pPr>
            <w:r>
              <w:rPr>
                <w:rFonts w:eastAsia="Times New Roman"/>
                <w:b/>
                <w:color w:val="000000" w:themeColor="text1"/>
                <w:sz w:val="22"/>
                <w:lang w:eastAsia="lv-LV"/>
              </w:rPr>
              <w:t>A</w:t>
            </w:r>
            <w:r w:rsidRPr="0023009E">
              <w:rPr>
                <w:rFonts w:eastAsia="Times New Roman"/>
                <w:b/>
                <w:color w:val="000000" w:themeColor="text1"/>
                <w:sz w:val="22"/>
                <w:lang w:eastAsia="lv-LV"/>
              </w:rPr>
              <w:t>tbalstīt</w:t>
            </w:r>
          </w:p>
          <w:p w:rsidR="0023009E" w:rsidRDefault="0023009E" w:rsidP="0023009E">
            <w:pPr>
              <w:jc w:val="both"/>
              <w:rPr>
                <w:rFonts w:eastAsia="Times New Roman"/>
                <w:b/>
                <w:color w:val="000000" w:themeColor="text1"/>
                <w:sz w:val="22"/>
                <w:lang w:eastAsia="lv-LV"/>
              </w:rPr>
            </w:pPr>
          </w:p>
          <w:p w:rsidR="0023009E" w:rsidRDefault="0023009E" w:rsidP="0023009E">
            <w:pPr>
              <w:jc w:val="both"/>
              <w:rPr>
                <w:rFonts w:eastAsia="Times New Roman"/>
                <w:b/>
                <w:color w:val="000000" w:themeColor="text1"/>
                <w:sz w:val="22"/>
                <w:lang w:eastAsia="lv-LV"/>
              </w:rPr>
            </w:pPr>
          </w:p>
          <w:p w:rsidR="0023009E" w:rsidRDefault="0023009E" w:rsidP="0023009E">
            <w:pPr>
              <w:jc w:val="both"/>
              <w:rPr>
                <w:rFonts w:eastAsia="Times New Roman"/>
                <w:b/>
                <w:color w:val="000000" w:themeColor="text1"/>
                <w:sz w:val="22"/>
                <w:lang w:eastAsia="lv-LV"/>
              </w:rPr>
            </w:pPr>
          </w:p>
          <w:p w:rsidR="0023009E" w:rsidRDefault="0023009E" w:rsidP="0023009E">
            <w:pPr>
              <w:jc w:val="both"/>
              <w:rPr>
                <w:rFonts w:eastAsia="Times New Roman"/>
                <w:color w:val="000000" w:themeColor="text1"/>
                <w:sz w:val="22"/>
                <w:lang w:eastAsia="lv-LV"/>
              </w:rPr>
            </w:pPr>
          </w:p>
          <w:p w:rsidR="0023009E" w:rsidRDefault="0023009E" w:rsidP="0023009E">
            <w:pPr>
              <w:jc w:val="both"/>
              <w:rPr>
                <w:rFonts w:eastAsia="Times New Roman"/>
                <w:color w:val="000000" w:themeColor="text1"/>
                <w:sz w:val="22"/>
                <w:lang w:eastAsia="lv-LV"/>
              </w:rPr>
            </w:pPr>
          </w:p>
          <w:p w:rsidR="0023009E" w:rsidRPr="00496988" w:rsidRDefault="0023009E" w:rsidP="0023009E">
            <w:pPr>
              <w:jc w:val="both"/>
              <w:rPr>
                <w:rFonts w:eastAsia="Times New Roman"/>
                <w:color w:val="000000" w:themeColor="text1"/>
                <w:sz w:val="22"/>
                <w:lang w:eastAsia="lv-LV"/>
              </w:rPr>
            </w:pPr>
            <w:r w:rsidRPr="0023009E">
              <w:rPr>
                <w:rFonts w:eastAsia="Times New Roman"/>
                <w:b/>
                <w:color w:val="000000" w:themeColor="text1"/>
                <w:sz w:val="22"/>
                <w:lang w:eastAsia="lv-LV"/>
              </w:rPr>
              <w:t>Neatbalstīt</w:t>
            </w:r>
          </w:p>
        </w:tc>
        <w:tc>
          <w:tcPr>
            <w:tcW w:w="1134" w:type="dxa"/>
          </w:tcPr>
          <w:p w:rsidR="0023009E" w:rsidRPr="00496988" w:rsidRDefault="0023009E" w:rsidP="00EF0E8C">
            <w:pPr>
              <w:ind w:firstLine="567"/>
              <w:jc w:val="both"/>
              <w:rPr>
                <w:rFonts w:eastAsia="Times New Roman"/>
                <w:color w:val="000000" w:themeColor="text1"/>
                <w:sz w:val="22"/>
                <w:lang w:eastAsia="lv-LV"/>
              </w:rPr>
            </w:pPr>
          </w:p>
        </w:tc>
      </w:tr>
      <w:tr w:rsidR="0023009E" w:rsidRPr="00496988" w:rsidTr="00EB7EDD">
        <w:tc>
          <w:tcPr>
            <w:tcW w:w="3403" w:type="dxa"/>
            <w:shd w:val="clear" w:color="auto" w:fill="auto"/>
          </w:tcPr>
          <w:p w:rsidR="0023009E" w:rsidRPr="0034236F" w:rsidRDefault="0023009E" w:rsidP="002E259F">
            <w:pPr>
              <w:ind w:firstLine="567"/>
              <w:jc w:val="both"/>
              <w:rPr>
                <w:b/>
                <w:bCs/>
                <w:sz w:val="22"/>
              </w:rPr>
            </w:pPr>
            <w:r w:rsidRPr="0034236F">
              <w:rPr>
                <w:b/>
                <w:bCs/>
                <w:sz w:val="22"/>
              </w:rPr>
              <w:t>18.pants. Nodokļu administrācijas pienākumi</w:t>
            </w:r>
          </w:p>
          <w:p w:rsidR="0023009E" w:rsidRPr="0034469C" w:rsidRDefault="0023009E" w:rsidP="002E259F">
            <w:pPr>
              <w:pStyle w:val="tv213"/>
              <w:spacing w:before="0" w:beforeAutospacing="0" w:after="0" w:afterAutospacing="0"/>
              <w:ind w:firstLine="567"/>
              <w:jc w:val="both"/>
              <w:rPr>
                <w:b/>
                <w:bCs/>
                <w:sz w:val="22"/>
                <w:szCs w:val="22"/>
              </w:rPr>
            </w:pPr>
            <w:r w:rsidRPr="0034236F">
              <w:rPr>
                <w:sz w:val="22"/>
              </w:rPr>
              <w:t>(1) Nodokļu administrācijas pienākumi ir šādi:</w:t>
            </w:r>
          </w:p>
        </w:tc>
        <w:tc>
          <w:tcPr>
            <w:tcW w:w="3827" w:type="dxa"/>
            <w:shd w:val="clear" w:color="auto" w:fill="auto"/>
          </w:tcPr>
          <w:p w:rsidR="0023009E" w:rsidRPr="00722021" w:rsidRDefault="0023009E" w:rsidP="002E259F">
            <w:pPr>
              <w:ind w:firstLine="567"/>
              <w:jc w:val="both"/>
              <w:rPr>
                <w:rFonts w:eastAsia="Times New Roman"/>
                <w:sz w:val="22"/>
                <w:lang w:eastAsia="lv-LV"/>
              </w:rPr>
            </w:pPr>
            <w:r w:rsidRPr="00722021">
              <w:rPr>
                <w:rFonts w:eastAsia="Times New Roman"/>
                <w:sz w:val="22"/>
                <w:lang w:eastAsia="lv-LV"/>
              </w:rPr>
              <w:t>2.  Papildināt 18. panta pirmo daļu ar 28. 29. un 30. punktu šādā redakcijā:</w:t>
            </w:r>
          </w:p>
          <w:p w:rsidR="0023009E" w:rsidRPr="00722021" w:rsidRDefault="0023009E" w:rsidP="002E259F">
            <w:pPr>
              <w:ind w:firstLine="567"/>
              <w:jc w:val="both"/>
              <w:rPr>
                <w:rFonts w:eastAsia="Times New Roman"/>
                <w:sz w:val="22"/>
                <w:lang w:eastAsia="lv-LV"/>
              </w:rPr>
            </w:pPr>
            <w:r w:rsidRPr="00722021">
              <w:rPr>
                <w:rFonts w:eastAsia="Times New Roman"/>
                <w:sz w:val="22"/>
                <w:lang w:eastAsia="lv-LV"/>
              </w:rPr>
              <w:t xml:space="preserve"> "28) lai veicinātu komercdarbības vides drošību, godīgu konkurenci un labprātīgu nodokļu </w:t>
            </w:r>
            <w:r w:rsidRPr="002E259F">
              <w:rPr>
                <w:rFonts w:eastAsia="Times New Roman"/>
                <w:sz w:val="22"/>
                <w:u w:val="single"/>
                <w:lang w:eastAsia="lv-LV"/>
              </w:rPr>
              <w:t>(nodevu)</w:t>
            </w:r>
            <w:r w:rsidRPr="00722021">
              <w:rPr>
                <w:rFonts w:eastAsia="Times New Roman"/>
                <w:sz w:val="22"/>
                <w:lang w:eastAsia="lv-LV"/>
              </w:rPr>
              <w:t xml:space="preserve"> saistību izpildi, nodrošināt publiski pieejamu informāciju par darba devējiem, kuru darbinieku vidējais mēneša atalgojums ir valstī noteiktās minimālās mēneša darba algas apmērā vai mazāks. Valsts ieņēmumu dienests minēto informāciju aktualizē nākamā mēneša 25. datumā, norādot attiecīgās </w:t>
            </w:r>
            <w:r w:rsidRPr="002E259F">
              <w:rPr>
                <w:rFonts w:eastAsia="Times New Roman"/>
                <w:sz w:val="22"/>
                <w:u w:val="single"/>
                <w:lang w:eastAsia="lv-LV"/>
              </w:rPr>
              <w:t xml:space="preserve">juridiskās personas </w:t>
            </w:r>
            <w:r w:rsidRPr="002E259F">
              <w:rPr>
                <w:rFonts w:eastAsia="Times New Roman"/>
                <w:sz w:val="22"/>
                <w:u w:val="single"/>
                <w:lang w:eastAsia="lv-LV"/>
              </w:rPr>
              <w:lastRenderedPageBreak/>
              <w:t>nosaukumu un reģistrācijas numuru, bet fiziskai personai – vārdu un uzvārdu</w:t>
            </w:r>
            <w:r w:rsidRPr="00722021">
              <w:rPr>
                <w:rFonts w:eastAsia="Times New Roman"/>
                <w:sz w:val="22"/>
                <w:lang w:eastAsia="lv-LV"/>
              </w:rPr>
              <w:t>;</w:t>
            </w:r>
          </w:p>
          <w:p w:rsidR="0023009E" w:rsidRPr="00722021" w:rsidRDefault="0023009E" w:rsidP="00271EF7">
            <w:pPr>
              <w:ind w:firstLine="567"/>
              <w:jc w:val="both"/>
              <w:rPr>
                <w:rFonts w:eastAsia="Times New Roman"/>
                <w:sz w:val="22"/>
                <w:lang w:eastAsia="lv-LV"/>
              </w:rPr>
            </w:pPr>
          </w:p>
        </w:tc>
        <w:tc>
          <w:tcPr>
            <w:tcW w:w="1418" w:type="dxa"/>
          </w:tcPr>
          <w:p w:rsidR="0023009E" w:rsidRDefault="0023009E" w:rsidP="00EF0E8C">
            <w:pPr>
              <w:jc w:val="center"/>
              <w:rPr>
                <w:rFonts w:eastAsia="Times New Roman"/>
                <w:b/>
                <w:color w:val="000000" w:themeColor="text1"/>
                <w:sz w:val="22"/>
                <w:lang w:eastAsia="lv-LV"/>
              </w:rPr>
            </w:pPr>
            <w:r>
              <w:rPr>
                <w:rFonts w:eastAsia="Times New Roman"/>
                <w:b/>
                <w:color w:val="000000" w:themeColor="text1"/>
                <w:sz w:val="22"/>
                <w:lang w:eastAsia="lv-LV"/>
              </w:rPr>
              <w:lastRenderedPageBreak/>
              <w:t>5</w:t>
            </w:r>
          </w:p>
          <w:p w:rsidR="0023009E" w:rsidRDefault="0023009E" w:rsidP="00EF0E8C">
            <w:pPr>
              <w:jc w:val="center"/>
              <w:rPr>
                <w:rFonts w:eastAsia="Times New Roman"/>
                <w:b/>
                <w:color w:val="000000" w:themeColor="text1"/>
                <w:sz w:val="22"/>
                <w:lang w:eastAsia="lv-LV"/>
              </w:rPr>
            </w:pPr>
          </w:p>
          <w:p w:rsidR="0023009E" w:rsidRDefault="0023009E" w:rsidP="00EF0E8C">
            <w:pPr>
              <w:jc w:val="center"/>
              <w:rPr>
                <w:rFonts w:eastAsia="Times New Roman"/>
                <w:b/>
                <w:color w:val="000000" w:themeColor="text1"/>
                <w:sz w:val="22"/>
                <w:lang w:eastAsia="lv-LV"/>
              </w:rPr>
            </w:pPr>
          </w:p>
          <w:p w:rsidR="0023009E" w:rsidRDefault="0023009E" w:rsidP="00EF0E8C">
            <w:pPr>
              <w:jc w:val="center"/>
              <w:rPr>
                <w:rFonts w:eastAsia="Times New Roman"/>
                <w:b/>
                <w:color w:val="000000" w:themeColor="text1"/>
                <w:sz w:val="22"/>
                <w:lang w:eastAsia="lv-LV"/>
              </w:rPr>
            </w:pPr>
            <w:r>
              <w:rPr>
                <w:rFonts w:eastAsia="Times New Roman"/>
                <w:b/>
                <w:color w:val="000000" w:themeColor="text1"/>
                <w:sz w:val="22"/>
                <w:lang w:eastAsia="lv-LV"/>
              </w:rPr>
              <w:t>6</w:t>
            </w:r>
          </w:p>
          <w:p w:rsidR="0023009E" w:rsidRDefault="0023009E" w:rsidP="00EF0E8C">
            <w:pPr>
              <w:jc w:val="center"/>
              <w:rPr>
                <w:rFonts w:eastAsia="Times New Roman"/>
                <w:b/>
                <w:color w:val="000000" w:themeColor="text1"/>
                <w:sz w:val="22"/>
                <w:lang w:eastAsia="lv-LV"/>
              </w:rPr>
            </w:pPr>
          </w:p>
          <w:p w:rsidR="0023009E" w:rsidRDefault="0023009E" w:rsidP="00EF0E8C">
            <w:pPr>
              <w:jc w:val="center"/>
              <w:rPr>
                <w:rFonts w:eastAsia="Times New Roman"/>
                <w:b/>
                <w:color w:val="000000" w:themeColor="text1"/>
                <w:sz w:val="22"/>
                <w:lang w:eastAsia="lv-LV"/>
              </w:rPr>
            </w:pPr>
          </w:p>
          <w:p w:rsidR="0023009E" w:rsidRDefault="0023009E" w:rsidP="00EF0E8C">
            <w:pPr>
              <w:jc w:val="center"/>
              <w:rPr>
                <w:rFonts w:eastAsia="Times New Roman"/>
                <w:b/>
                <w:color w:val="000000" w:themeColor="text1"/>
                <w:sz w:val="22"/>
                <w:lang w:eastAsia="lv-LV"/>
              </w:rPr>
            </w:pPr>
          </w:p>
          <w:p w:rsidR="0023009E" w:rsidRDefault="0023009E" w:rsidP="00EF0E8C">
            <w:pPr>
              <w:jc w:val="center"/>
              <w:rPr>
                <w:rFonts w:eastAsia="Times New Roman"/>
                <w:b/>
                <w:color w:val="000000" w:themeColor="text1"/>
                <w:sz w:val="22"/>
                <w:lang w:eastAsia="lv-LV"/>
              </w:rPr>
            </w:pPr>
          </w:p>
          <w:p w:rsidR="0023009E" w:rsidRDefault="0023009E" w:rsidP="00EF0E8C">
            <w:pPr>
              <w:jc w:val="center"/>
              <w:rPr>
                <w:rFonts w:eastAsia="Times New Roman"/>
                <w:b/>
                <w:color w:val="000000" w:themeColor="text1"/>
                <w:sz w:val="22"/>
                <w:lang w:eastAsia="lv-LV"/>
              </w:rPr>
            </w:pPr>
          </w:p>
          <w:p w:rsidR="0023009E" w:rsidRDefault="0023009E" w:rsidP="00EF0E8C">
            <w:pPr>
              <w:jc w:val="center"/>
              <w:rPr>
                <w:rFonts w:eastAsia="Times New Roman"/>
                <w:b/>
                <w:color w:val="000000" w:themeColor="text1"/>
                <w:sz w:val="22"/>
                <w:lang w:eastAsia="lv-LV"/>
              </w:rPr>
            </w:pPr>
          </w:p>
          <w:p w:rsidR="0023009E" w:rsidRPr="00496988" w:rsidRDefault="0023009E" w:rsidP="00EF0E8C">
            <w:pPr>
              <w:jc w:val="center"/>
              <w:rPr>
                <w:rFonts w:eastAsia="Times New Roman"/>
                <w:b/>
                <w:color w:val="000000" w:themeColor="text1"/>
                <w:sz w:val="22"/>
                <w:lang w:eastAsia="lv-LV"/>
              </w:rPr>
            </w:pPr>
            <w:r>
              <w:rPr>
                <w:rFonts w:eastAsia="Times New Roman"/>
                <w:b/>
                <w:color w:val="000000" w:themeColor="text1"/>
                <w:sz w:val="22"/>
                <w:lang w:eastAsia="lv-LV"/>
              </w:rPr>
              <w:t>7</w:t>
            </w:r>
          </w:p>
        </w:tc>
        <w:tc>
          <w:tcPr>
            <w:tcW w:w="3827" w:type="dxa"/>
          </w:tcPr>
          <w:p w:rsidR="0023009E" w:rsidRPr="00693415" w:rsidRDefault="0023009E" w:rsidP="00693415">
            <w:pPr>
              <w:ind w:firstLine="567"/>
              <w:jc w:val="both"/>
              <w:rPr>
                <w:rFonts w:eastAsia="Times New Roman"/>
                <w:b/>
                <w:sz w:val="22"/>
                <w:u w:val="single"/>
                <w:lang w:eastAsia="lv-LV"/>
              </w:rPr>
            </w:pPr>
            <w:r w:rsidRPr="00693415">
              <w:rPr>
                <w:rFonts w:eastAsia="Times New Roman"/>
                <w:b/>
                <w:sz w:val="22"/>
                <w:u w:val="single"/>
                <w:lang w:eastAsia="lv-LV"/>
              </w:rPr>
              <w:t>Frakcija “No sirds Latvijai”</w:t>
            </w:r>
          </w:p>
          <w:p w:rsidR="0023009E" w:rsidRPr="00693415" w:rsidRDefault="0023009E" w:rsidP="00693415">
            <w:pPr>
              <w:tabs>
                <w:tab w:val="left" w:pos="1220"/>
              </w:tabs>
              <w:ind w:firstLine="567"/>
              <w:contextualSpacing/>
              <w:jc w:val="both"/>
              <w:rPr>
                <w:sz w:val="22"/>
              </w:rPr>
            </w:pPr>
            <w:r w:rsidRPr="00693415">
              <w:rPr>
                <w:sz w:val="22"/>
              </w:rPr>
              <w:t xml:space="preserve">Izslēgt likumprojekta </w:t>
            </w:r>
            <w:r>
              <w:rPr>
                <w:sz w:val="22"/>
              </w:rPr>
              <w:t>2</w:t>
            </w:r>
            <w:r w:rsidRPr="00693415">
              <w:rPr>
                <w:sz w:val="22"/>
              </w:rPr>
              <w:t>.pantu.</w:t>
            </w:r>
          </w:p>
          <w:p w:rsidR="0023009E" w:rsidRDefault="0023009E" w:rsidP="002E259F">
            <w:pPr>
              <w:tabs>
                <w:tab w:val="left" w:pos="0"/>
                <w:tab w:val="left" w:pos="1276"/>
              </w:tabs>
              <w:ind w:firstLine="567"/>
              <w:jc w:val="both"/>
              <w:rPr>
                <w:b/>
                <w:sz w:val="22"/>
                <w:u w:val="single"/>
              </w:rPr>
            </w:pPr>
          </w:p>
          <w:p w:rsidR="0023009E" w:rsidRDefault="0023009E" w:rsidP="002E259F">
            <w:pPr>
              <w:tabs>
                <w:tab w:val="left" w:pos="0"/>
                <w:tab w:val="left" w:pos="1276"/>
              </w:tabs>
              <w:ind w:firstLine="567"/>
              <w:jc w:val="both"/>
              <w:rPr>
                <w:sz w:val="22"/>
              </w:rPr>
            </w:pPr>
            <w:r w:rsidRPr="002E259F">
              <w:rPr>
                <w:b/>
                <w:sz w:val="22"/>
                <w:u w:val="single"/>
              </w:rPr>
              <w:t>Finanšu ministre D.Reizniece–Ozola</w:t>
            </w:r>
          </w:p>
          <w:p w:rsidR="0023009E" w:rsidRPr="00F01380" w:rsidRDefault="0023009E" w:rsidP="002E259F">
            <w:pPr>
              <w:tabs>
                <w:tab w:val="left" w:pos="0"/>
                <w:tab w:val="left" w:pos="1276"/>
              </w:tabs>
              <w:ind w:firstLine="567"/>
              <w:jc w:val="both"/>
              <w:rPr>
                <w:sz w:val="22"/>
              </w:rPr>
            </w:pPr>
            <w:r w:rsidRPr="00F01380">
              <w:rPr>
                <w:sz w:val="22"/>
              </w:rPr>
              <w:t>Likumprojekta 1. pantā (iepriekš – likumprojekta 2. pants):</w:t>
            </w:r>
          </w:p>
          <w:p w:rsidR="0023009E" w:rsidRPr="00F01380" w:rsidRDefault="0023009E" w:rsidP="002E259F">
            <w:pPr>
              <w:ind w:firstLine="567"/>
              <w:jc w:val="both"/>
              <w:rPr>
                <w:sz w:val="22"/>
              </w:rPr>
            </w:pPr>
            <w:r w:rsidRPr="00F01380">
              <w:rPr>
                <w:sz w:val="22"/>
              </w:rPr>
              <w:t>svītrot 28. punktā vārdu un iekavas "(nodevu)";</w:t>
            </w:r>
          </w:p>
          <w:p w:rsidR="0023009E" w:rsidRDefault="0023009E" w:rsidP="002E259F">
            <w:pPr>
              <w:ind w:firstLine="567"/>
              <w:jc w:val="both"/>
              <w:rPr>
                <w:rFonts w:eastAsia="Times New Roman"/>
                <w:color w:val="000000" w:themeColor="text1"/>
                <w:sz w:val="22"/>
                <w:lang w:eastAsia="lv-LV"/>
              </w:rPr>
            </w:pPr>
          </w:p>
          <w:p w:rsidR="0023009E" w:rsidRDefault="0023009E" w:rsidP="002E259F">
            <w:pPr>
              <w:tabs>
                <w:tab w:val="left" w:pos="0"/>
                <w:tab w:val="left" w:pos="1276"/>
              </w:tabs>
              <w:ind w:firstLine="567"/>
              <w:jc w:val="both"/>
              <w:rPr>
                <w:sz w:val="22"/>
              </w:rPr>
            </w:pPr>
            <w:r w:rsidRPr="002E259F">
              <w:rPr>
                <w:b/>
                <w:sz w:val="22"/>
                <w:u w:val="single"/>
              </w:rPr>
              <w:t>Finanšu ministre D.Reizniece–Ozola</w:t>
            </w:r>
          </w:p>
          <w:p w:rsidR="0023009E" w:rsidRPr="002E259F" w:rsidRDefault="0023009E" w:rsidP="002E259F">
            <w:pPr>
              <w:ind w:firstLine="567"/>
              <w:jc w:val="both"/>
              <w:rPr>
                <w:b/>
                <w:sz w:val="22"/>
                <w:u w:val="single"/>
              </w:rPr>
            </w:pPr>
            <w:r w:rsidRPr="00F01380">
              <w:rPr>
                <w:sz w:val="22"/>
              </w:rPr>
              <w:lastRenderedPageBreak/>
              <w:t>aizstāt 28. punktā vārdus "juridiskās personas nosaukumu un reģistrācijas numuru, bet fiziskai personai – vārdu un uzvārdu" ar vārdiem "</w:t>
            </w:r>
            <w:r w:rsidRPr="002E259F">
              <w:rPr>
                <w:sz w:val="22"/>
                <w:u w:val="single"/>
              </w:rPr>
              <w:t>juridiskās personas un individuālā komersanta nosaukumu un reģistrācijas numuru, bet fiziskajai personai (darba devējam) – vārdu, uzvārdu, personas koda otro daļu un dzimšanas gadu</w:t>
            </w:r>
            <w:r w:rsidRPr="00F01380">
              <w:rPr>
                <w:sz w:val="22"/>
              </w:rPr>
              <w:t>;";</w:t>
            </w:r>
          </w:p>
        </w:tc>
        <w:tc>
          <w:tcPr>
            <w:tcW w:w="1559" w:type="dxa"/>
          </w:tcPr>
          <w:p w:rsidR="0023009E" w:rsidRDefault="0023009E" w:rsidP="0023009E">
            <w:pPr>
              <w:jc w:val="both"/>
              <w:rPr>
                <w:rFonts w:eastAsia="Times New Roman"/>
                <w:b/>
                <w:color w:val="000000" w:themeColor="text1"/>
                <w:sz w:val="22"/>
                <w:lang w:eastAsia="lv-LV"/>
              </w:rPr>
            </w:pPr>
            <w:r w:rsidRPr="0023009E">
              <w:rPr>
                <w:rFonts w:eastAsia="Times New Roman"/>
                <w:b/>
                <w:color w:val="000000" w:themeColor="text1"/>
                <w:sz w:val="22"/>
                <w:lang w:eastAsia="lv-LV"/>
              </w:rPr>
              <w:lastRenderedPageBreak/>
              <w:t>Neatbalstīt</w:t>
            </w:r>
          </w:p>
          <w:p w:rsidR="0023009E" w:rsidRDefault="0023009E" w:rsidP="0023009E">
            <w:pPr>
              <w:jc w:val="both"/>
              <w:rPr>
                <w:rFonts w:eastAsia="Times New Roman"/>
                <w:b/>
                <w:color w:val="000000" w:themeColor="text1"/>
                <w:sz w:val="22"/>
                <w:lang w:eastAsia="lv-LV"/>
              </w:rPr>
            </w:pPr>
          </w:p>
          <w:p w:rsidR="0023009E" w:rsidRDefault="0023009E" w:rsidP="0023009E">
            <w:pPr>
              <w:jc w:val="both"/>
              <w:rPr>
                <w:rFonts w:eastAsia="Times New Roman"/>
                <w:b/>
                <w:color w:val="000000" w:themeColor="text1"/>
                <w:sz w:val="22"/>
                <w:lang w:eastAsia="lv-LV"/>
              </w:rPr>
            </w:pPr>
          </w:p>
          <w:p w:rsidR="0023009E" w:rsidRDefault="0023009E" w:rsidP="0023009E">
            <w:pPr>
              <w:jc w:val="both"/>
              <w:rPr>
                <w:rFonts w:eastAsia="Times New Roman"/>
                <w:b/>
                <w:color w:val="000000" w:themeColor="text1"/>
                <w:sz w:val="22"/>
                <w:lang w:eastAsia="lv-LV"/>
              </w:rPr>
            </w:pPr>
            <w:r>
              <w:rPr>
                <w:rFonts w:eastAsia="Times New Roman"/>
                <w:b/>
                <w:color w:val="000000" w:themeColor="text1"/>
                <w:sz w:val="22"/>
                <w:lang w:eastAsia="lv-LV"/>
              </w:rPr>
              <w:t>A</w:t>
            </w:r>
            <w:r w:rsidRPr="0023009E">
              <w:rPr>
                <w:rFonts w:eastAsia="Times New Roman"/>
                <w:b/>
                <w:color w:val="000000" w:themeColor="text1"/>
                <w:sz w:val="22"/>
                <w:lang w:eastAsia="lv-LV"/>
              </w:rPr>
              <w:t>tbalstīt</w:t>
            </w:r>
          </w:p>
          <w:p w:rsidR="0023009E" w:rsidRDefault="0023009E" w:rsidP="0023009E">
            <w:pPr>
              <w:jc w:val="both"/>
              <w:rPr>
                <w:rFonts w:eastAsia="Times New Roman"/>
                <w:b/>
                <w:color w:val="000000" w:themeColor="text1"/>
                <w:sz w:val="22"/>
                <w:lang w:eastAsia="lv-LV"/>
              </w:rPr>
            </w:pPr>
          </w:p>
          <w:p w:rsidR="0023009E" w:rsidRDefault="0023009E" w:rsidP="0023009E">
            <w:pPr>
              <w:jc w:val="both"/>
              <w:rPr>
                <w:rFonts w:eastAsia="Times New Roman"/>
                <w:b/>
                <w:color w:val="000000" w:themeColor="text1"/>
                <w:sz w:val="22"/>
                <w:lang w:eastAsia="lv-LV"/>
              </w:rPr>
            </w:pPr>
          </w:p>
          <w:p w:rsidR="0023009E" w:rsidRDefault="0023009E" w:rsidP="0023009E">
            <w:pPr>
              <w:jc w:val="both"/>
              <w:rPr>
                <w:rFonts w:eastAsia="Times New Roman"/>
                <w:b/>
                <w:color w:val="000000" w:themeColor="text1"/>
                <w:sz w:val="22"/>
                <w:lang w:eastAsia="lv-LV"/>
              </w:rPr>
            </w:pPr>
          </w:p>
          <w:p w:rsidR="0023009E" w:rsidRDefault="0023009E" w:rsidP="0023009E">
            <w:pPr>
              <w:jc w:val="both"/>
              <w:rPr>
                <w:rFonts w:eastAsia="Times New Roman"/>
                <w:b/>
                <w:color w:val="000000" w:themeColor="text1"/>
                <w:sz w:val="22"/>
                <w:lang w:eastAsia="lv-LV"/>
              </w:rPr>
            </w:pPr>
          </w:p>
          <w:p w:rsidR="0023009E" w:rsidRDefault="0023009E" w:rsidP="0023009E">
            <w:pPr>
              <w:jc w:val="both"/>
              <w:rPr>
                <w:rFonts w:eastAsia="Times New Roman"/>
                <w:b/>
                <w:color w:val="000000" w:themeColor="text1"/>
                <w:sz w:val="22"/>
                <w:lang w:eastAsia="lv-LV"/>
              </w:rPr>
            </w:pPr>
          </w:p>
          <w:p w:rsidR="0023009E" w:rsidRDefault="0023009E" w:rsidP="0023009E">
            <w:pPr>
              <w:jc w:val="both"/>
              <w:rPr>
                <w:rFonts w:eastAsia="Times New Roman"/>
                <w:b/>
                <w:color w:val="000000" w:themeColor="text1"/>
                <w:sz w:val="22"/>
                <w:lang w:eastAsia="lv-LV"/>
              </w:rPr>
            </w:pPr>
          </w:p>
          <w:p w:rsidR="0023009E" w:rsidRDefault="0023009E" w:rsidP="0023009E">
            <w:pPr>
              <w:jc w:val="both"/>
              <w:rPr>
                <w:rFonts w:eastAsia="Times New Roman"/>
                <w:b/>
                <w:color w:val="000000" w:themeColor="text1"/>
                <w:sz w:val="22"/>
                <w:lang w:eastAsia="lv-LV"/>
              </w:rPr>
            </w:pPr>
            <w:r>
              <w:rPr>
                <w:rFonts w:eastAsia="Times New Roman"/>
                <w:b/>
                <w:color w:val="000000" w:themeColor="text1"/>
                <w:sz w:val="22"/>
                <w:lang w:eastAsia="lv-LV"/>
              </w:rPr>
              <w:t>A</w:t>
            </w:r>
            <w:r w:rsidRPr="0023009E">
              <w:rPr>
                <w:rFonts w:eastAsia="Times New Roman"/>
                <w:b/>
                <w:color w:val="000000" w:themeColor="text1"/>
                <w:sz w:val="22"/>
                <w:lang w:eastAsia="lv-LV"/>
              </w:rPr>
              <w:t>tbalstīt</w:t>
            </w:r>
          </w:p>
          <w:p w:rsidR="0023009E" w:rsidRPr="00496988" w:rsidRDefault="0023009E" w:rsidP="0023009E">
            <w:pPr>
              <w:jc w:val="both"/>
              <w:rPr>
                <w:rFonts w:eastAsia="Times New Roman"/>
                <w:color w:val="000000" w:themeColor="text1"/>
                <w:sz w:val="22"/>
                <w:lang w:eastAsia="lv-LV"/>
              </w:rPr>
            </w:pPr>
          </w:p>
        </w:tc>
        <w:tc>
          <w:tcPr>
            <w:tcW w:w="1134" w:type="dxa"/>
          </w:tcPr>
          <w:p w:rsidR="0023009E" w:rsidRPr="00496988" w:rsidRDefault="0023009E" w:rsidP="00EF0E8C">
            <w:pPr>
              <w:ind w:firstLine="567"/>
              <w:jc w:val="both"/>
              <w:rPr>
                <w:rFonts w:eastAsia="Times New Roman"/>
                <w:color w:val="000000" w:themeColor="text1"/>
                <w:sz w:val="22"/>
                <w:lang w:eastAsia="lv-LV"/>
              </w:rPr>
            </w:pPr>
          </w:p>
        </w:tc>
      </w:tr>
      <w:tr w:rsidR="0023009E" w:rsidRPr="00496988" w:rsidTr="00EB7EDD">
        <w:tc>
          <w:tcPr>
            <w:tcW w:w="3403" w:type="dxa"/>
            <w:shd w:val="clear" w:color="auto" w:fill="auto"/>
          </w:tcPr>
          <w:p w:rsidR="0023009E" w:rsidRPr="00496988" w:rsidRDefault="0023009E" w:rsidP="00EF0E8C">
            <w:pPr>
              <w:ind w:firstLine="567"/>
              <w:jc w:val="both"/>
              <w:rPr>
                <w:color w:val="000000" w:themeColor="text1"/>
                <w:sz w:val="22"/>
              </w:rPr>
            </w:pPr>
          </w:p>
        </w:tc>
        <w:tc>
          <w:tcPr>
            <w:tcW w:w="3827" w:type="dxa"/>
            <w:shd w:val="clear" w:color="auto" w:fill="auto"/>
          </w:tcPr>
          <w:p w:rsidR="0023009E" w:rsidRPr="00722021" w:rsidRDefault="0023009E" w:rsidP="00271EF7">
            <w:pPr>
              <w:ind w:firstLine="567"/>
              <w:jc w:val="both"/>
              <w:rPr>
                <w:rFonts w:eastAsia="Times New Roman"/>
                <w:sz w:val="22"/>
                <w:lang w:eastAsia="lv-LV"/>
              </w:rPr>
            </w:pPr>
            <w:r w:rsidRPr="00722021">
              <w:rPr>
                <w:rFonts w:eastAsia="Times New Roman"/>
                <w:sz w:val="22"/>
                <w:lang w:eastAsia="lv-LV"/>
              </w:rPr>
              <w:t>29)  lai veicinātu izmaksātās darba samaksas uzrādīšanu grāmatvedības uzskaitē pilnā apmērā, nodrošināt publiski pieejamu informāciju par nodokļu maksātājiem, kuri ir administratīvi sodīti par darba samaksas noteikumu pārkāpšanu un lēmumu par administratīvā soda uzlikšanu nav labprātīgi izpildījuši. Publicējot minēto informāciju, norāda lēmuma (nolēmuma) spēkā stāšanās datumu un fiziskās personas vārdu un uzvārdu, bet valdes loceklim – vārdu, uzvārdu un juridiskās personas nosaukumu un reģistrācijas numuru. Šo informāciju publicē Valsts ieņēmumu dienesta mājaslapā internetā tikai pēc tam, kad stājies spēkā un likumā noteiktajā termiņā nav apstrīdēts vai pārsūdzēts attiecīgais administratīvā pārkāpumu lietā pieņemtais lēmums vai stājies spēkā attiecīgs tiesas nolēmums, un minētā informācija ir pieejama līdz dienai, kad nodokļu maksātājs administratīvo sodu ir izpildījis;</w:t>
            </w:r>
          </w:p>
          <w:p w:rsidR="0023009E" w:rsidRPr="00271EF7" w:rsidRDefault="0023009E" w:rsidP="00271EF7">
            <w:pPr>
              <w:ind w:firstLine="567"/>
              <w:jc w:val="both"/>
              <w:rPr>
                <w:rFonts w:eastAsia="Times New Roman"/>
                <w:sz w:val="22"/>
                <w:lang w:eastAsia="lv-LV"/>
              </w:rPr>
            </w:pPr>
            <w:r w:rsidRPr="00722021">
              <w:rPr>
                <w:rFonts w:eastAsia="Times New Roman"/>
                <w:sz w:val="22"/>
                <w:lang w:eastAsia="lv-LV"/>
              </w:rPr>
              <w:t xml:space="preserve">30) lai nodrošinātu Valsts ieņēmumu dienesta iespējas pilnvērtīgi un savlaicīgi kontrolēt nodokļu aprēķināšanas un maksāšanas pareizību, </w:t>
            </w:r>
            <w:r w:rsidRPr="00722021">
              <w:rPr>
                <w:rFonts w:eastAsia="Times New Roman"/>
                <w:sz w:val="22"/>
                <w:lang w:eastAsia="lv-LV"/>
              </w:rPr>
              <w:lastRenderedPageBreak/>
              <w:t>publicēt informāciju par nodokļu maksātājiem, kuri nav iesnieguši nodokļu administrācijai šajā likumā vai konkrēto nodokļu likumos paredzētās nodokļu vai informatīvās deklarācijas, ja nodokļu normatīvajos aktos noteiktais nodokļu vai informatīvās deklarācijas iesniegšanas termiņš ir pārkāpts vairāk nekā par 10 dienām. Publicējot minēto informāciju, norāda nodokļu maksātāja – juridiskās personas – nosaukumu un reģistrācijas numuru, bet fiziskajai personai – vārdu un uzvārdu. Valsts ieņēmumu dienesta mājaslapā internetā ievietotā informācija ir pieejama līdz dienai, kad nodokļu maksātājs konkrēto nodokļu vai informatīvo deklarāciju Valsts ieņēmumu dienestā ir iesniedzis, bet ne ilgāk kā trīs gadus no normatīvajos aktos noteiktās nodokļu vai informatīvās deklarācijas iesniegšanas termiņa iestāšanās dienas."</w:t>
            </w:r>
          </w:p>
        </w:tc>
        <w:tc>
          <w:tcPr>
            <w:tcW w:w="1418" w:type="dxa"/>
          </w:tcPr>
          <w:p w:rsidR="0023009E" w:rsidRPr="00A575BA" w:rsidRDefault="0023009E" w:rsidP="00EF0E8C">
            <w:pPr>
              <w:jc w:val="center"/>
              <w:rPr>
                <w:rFonts w:eastAsia="Times New Roman"/>
                <w:b/>
                <w:color w:val="000000" w:themeColor="text1"/>
                <w:sz w:val="22"/>
                <w:lang w:eastAsia="lv-LV"/>
              </w:rPr>
            </w:pPr>
            <w:r w:rsidRPr="00A575BA">
              <w:rPr>
                <w:rFonts w:eastAsia="Times New Roman"/>
                <w:b/>
                <w:color w:val="000000" w:themeColor="text1"/>
                <w:sz w:val="22"/>
                <w:lang w:eastAsia="lv-LV"/>
              </w:rPr>
              <w:lastRenderedPageBreak/>
              <w:t>8</w:t>
            </w:r>
          </w:p>
        </w:tc>
        <w:tc>
          <w:tcPr>
            <w:tcW w:w="3827" w:type="dxa"/>
          </w:tcPr>
          <w:p w:rsidR="0023009E" w:rsidRDefault="0023009E" w:rsidP="002E259F">
            <w:pPr>
              <w:tabs>
                <w:tab w:val="left" w:pos="0"/>
                <w:tab w:val="left" w:pos="1276"/>
              </w:tabs>
              <w:ind w:firstLine="567"/>
              <w:jc w:val="both"/>
              <w:rPr>
                <w:sz w:val="22"/>
              </w:rPr>
            </w:pPr>
            <w:r w:rsidRPr="002E259F">
              <w:rPr>
                <w:b/>
                <w:sz w:val="22"/>
                <w:u w:val="single"/>
              </w:rPr>
              <w:t>Finanšu ministre D.Reizniece–Ozola</w:t>
            </w:r>
          </w:p>
          <w:p w:rsidR="0023009E" w:rsidRPr="00F01380" w:rsidRDefault="0023009E" w:rsidP="002E259F">
            <w:pPr>
              <w:tabs>
                <w:tab w:val="left" w:pos="1276"/>
              </w:tabs>
              <w:ind w:firstLine="567"/>
              <w:jc w:val="both"/>
              <w:rPr>
                <w:sz w:val="22"/>
              </w:rPr>
            </w:pPr>
            <w:r w:rsidRPr="00F01380">
              <w:rPr>
                <w:sz w:val="22"/>
              </w:rPr>
              <w:t>izteikt 29. un 30. punktu šādā redakcijā:</w:t>
            </w:r>
          </w:p>
          <w:p w:rsidR="0023009E" w:rsidRPr="00F01380" w:rsidRDefault="0023009E" w:rsidP="002E259F">
            <w:pPr>
              <w:tabs>
                <w:tab w:val="left" w:pos="1276"/>
              </w:tabs>
              <w:ind w:firstLine="567"/>
              <w:jc w:val="both"/>
              <w:rPr>
                <w:sz w:val="22"/>
              </w:rPr>
            </w:pPr>
            <w:r w:rsidRPr="00F01380">
              <w:rPr>
                <w:sz w:val="22"/>
              </w:rPr>
              <w:t xml:space="preserve">"29) lai veicinātu komercdarbības vides drošību, godīgu konkurenci,  labprātīgu nodokļu (nodevu) saistību izpildi, kā arī, lai motivētu darba devējus uzrādīt grāmatvedības uzskaitē pilnā apmērā darbiniekiem izmaksāto darba samaksu, nodrošināt publiski pieejamu informāciju par fiziskajai personai un juridiskās personas amatpersonai uzliktā administratīvā soda par darba samaksas noteikumu pārkāpšanu esību. Informāciju var iegūt Valsts ieņēmumu dienesta tīmekļa vietnē par juridiskās personas amatpersonu – ievadot juridiskās personas nosaukumu un reģistrācijas numuru, par fizisko personu – ievadot fiziskās personas vārdu, uzvārdu un reģistrācijas kodu. Minētā informācija ir publiski pieejama no brīža, kad stājies spēkā un likumā noteiktajā termiņā nav pārsūdzēts lēmums par administratīvā soda uzlikšanu vai stājies spēkā attiecīgs tiesas nolēmums līdz brīdim, kamēr persona atbilstoši </w:t>
            </w:r>
            <w:r w:rsidRPr="00F01380">
              <w:rPr>
                <w:sz w:val="22"/>
              </w:rPr>
              <w:lastRenderedPageBreak/>
              <w:t>normatīvajos aktos noteiktajam ir atzīstama par administratīvi sodītu;</w:t>
            </w:r>
          </w:p>
          <w:p w:rsidR="0023009E" w:rsidRDefault="0023009E" w:rsidP="002E259F">
            <w:pPr>
              <w:ind w:firstLine="567"/>
              <w:jc w:val="both"/>
              <w:rPr>
                <w:sz w:val="22"/>
              </w:rPr>
            </w:pPr>
            <w:r w:rsidRPr="00F01380">
              <w:rPr>
                <w:sz w:val="22"/>
              </w:rPr>
              <w:t>30) lai veicinātu savlaicīgu nodokļu deklarāciju iesniegšanu, komercdarbības vides drošību, godīgu konkurenci un labprātīgu nodokļu (nodevu) saistību izpildi, publicēt informāciju par nodokļu maksātājiem, kuri nav iesnieguši nodokļu administrācijai šajā likumā vai konkrēto nodokļu likumos paredzētās nodokļu deklarācijas, ja nodokļu normatīvajos aktos noteiktais nodokļu deklarācijas iesniegšanas termiņš ir pārkāpts vairāk nekā par 10 dienām. Publicējot minēto informāciju, norāda neiesniegtās nodokļu deklarācijas nosaukumu un tās iesniegšanas termiņu, nodokļu maksātāja – juridiskās personas vai individuālā komersanta – nosaukumu un reģistrācijas numuru, bet fiziskajai personai – vārdu, uzvārdu, personas koda otro daļu un dzimšanas gadu. Valsts ieņēmumu dienests mājaslapā internetā ievietoto informāciju aktualizē katru mēnesi septītajā un divdesmit sestajā datumā un tā publiski ir pieejama ne ilgāk kā trīs gadus no normatīvajos aktos noteiktās nodokļu deklarācijas iesniegšanas termiņa iestāšanās dienas."</w:t>
            </w:r>
          </w:p>
          <w:p w:rsidR="0023009E" w:rsidRPr="00496988" w:rsidRDefault="0023009E" w:rsidP="002E259F">
            <w:pPr>
              <w:ind w:firstLine="567"/>
              <w:jc w:val="both"/>
              <w:rPr>
                <w:rFonts w:eastAsia="Times New Roman"/>
                <w:color w:val="000000" w:themeColor="text1"/>
                <w:sz w:val="22"/>
                <w:lang w:eastAsia="lv-LV"/>
              </w:rPr>
            </w:pPr>
          </w:p>
        </w:tc>
        <w:tc>
          <w:tcPr>
            <w:tcW w:w="1559" w:type="dxa"/>
          </w:tcPr>
          <w:p w:rsidR="0023009E" w:rsidRPr="00496988" w:rsidRDefault="0023009E" w:rsidP="0023009E">
            <w:pPr>
              <w:jc w:val="both"/>
              <w:rPr>
                <w:rFonts w:eastAsia="Times New Roman"/>
                <w:color w:val="000000" w:themeColor="text1"/>
                <w:sz w:val="22"/>
                <w:lang w:eastAsia="lv-LV"/>
              </w:rPr>
            </w:pPr>
            <w:r>
              <w:rPr>
                <w:rFonts w:eastAsia="Times New Roman"/>
                <w:b/>
                <w:color w:val="000000" w:themeColor="text1"/>
                <w:sz w:val="22"/>
                <w:lang w:eastAsia="lv-LV"/>
              </w:rPr>
              <w:lastRenderedPageBreak/>
              <w:t>A</w:t>
            </w:r>
            <w:r w:rsidRPr="0023009E">
              <w:rPr>
                <w:rFonts w:eastAsia="Times New Roman"/>
                <w:b/>
                <w:color w:val="000000" w:themeColor="text1"/>
                <w:sz w:val="22"/>
                <w:lang w:eastAsia="lv-LV"/>
              </w:rPr>
              <w:t>tbalstīt</w:t>
            </w:r>
          </w:p>
        </w:tc>
        <w:tc>
          <w:tcPr>
            <w:tcW w:w="1134" w:type="dxa"/>
          </w:tcPr>
          <w:p w:rsidR="0023009E" w:rsidRPr="00496988" w:rsidRDefault="0023009E" w:rsidP="00EF0E8C">
            <w:pPr>
              <w:ind w:firstLine="567"/>
              <w:jc w:val="both"/>
              <w:rPr>
                <w:rFonts w:eastAsia="Times New Roman"/>
                <w:color w:val="000000" w:themeColor="text1"/>
                <w:sz w:val="22"/>
                <w:lang w:eastAsia="lv-LV"/>
              </w:rPr>
            </w:pPr>
          </w:p>
        </w:tc>
      </w:tr>
      <w:tr w:rsidR="0023009E" w:rsidRPr="00496988" w:rsidTr="00EB7EDD">
        <w:tc>
          <w:tcPr>
            <w:tcW w:w="3403" w:type="dxa"/>
            <w:shd w:val="clear" w:color="auto" w:fill="auto"/>
          </w:tcPr>
          <w:p w:rsidR="0023009E" w:rsidRPr="00F73597" w:rsidRDefault="0023009E" w:rsidP="00F73597">
            <w:pPr>
              <w:ind w:firstLine="567"/>
              <w:jc w:val="both"/>
              <w:rPr>
                <w:rFonts w:eastAsia="Times New Roman"/>
                <w:sz w:val="22"/>
                <w:lang w:eastAsia="lv-LV"/>
              </w:rPr>
            </w:pPr>
            <w:r w:rsidRPr="00F73597">
              <w:rPr>
                <w:rFonts w:eastAsia="Times New Roman"/>
                <w:b/>
                <w:bCs/>
                <w:sz w:val="22"/>
                <w:lang w:eastAsia="lv-LV"/>
              </w:rPr>
              <w:lastRenderedPageBreak/>
              <w:t>22.pants. Konfidencialitāte</w:t>
            </w:r>
          </w:p>
          <w:p w:rsidR="0023009E" w:rsidRPr="00F73597" w:rsidRDefault="0023009E" w:rsidP="00F73597">
            <w:pPr>
              <w:ind w:firstLine="567"/>
              <w:jc w:val="both"/>
              <w:rPr>
                <w:rFonts w:eastAsia="Times New Roman"/>
                <w:sz w:val="22"/>
                <w:lang w:eastAsia="lv-LV"/>
              </w:rPr>
            </w:pPr>
            <w:r w:rsidRPr="00F73597">
              <w:rPr>
                <w:rFonts w:eastAsia="Times New Roman"/>
                <w:sz w:val="22"/>
                <w:lang w:eastAsia="lv-LV"/>
              </w:rPr>
              <w:t xml:space="preserve">(1) Nodokļu administrācijas ierēdnim (darbiniekam), ja šā panta otrajā daļā nav noteikts citādi, aizliegts izpaust par nodokļu maksātāju bez viņa piekrišanas </w:t>
            </w:r>
            <w:r w:rsidRPr="00F73597">
              <w:rPr>
                <w:rFonts w:eastAsia="Times New Roman"/>
                <w:sz w:val="22"/>
                <w:lang w:eastAsia="lv-LV"/>
              </w:rPr>
              <w:lastRenderedPageBreak/>
              <w:t xml:space="preserve">jebkādu informāciju, kas šim ierēdnim (darbiniekam) kļuvusi zināma, pildot </w:t>
            </w:r>
            <w:r w:rsidRPr="00F73597">
              <w:rPr>
                <w:sz w:val="22"/>
              </w:rPr>
              <w:t>dienesta (darba) pienākumus, izņemot:</w:t>
            </w:r>
          </w:p>
          <w:p w:rsidR="0023009E" w:rsidRDefault="0023009E" w:rsidP="00F73597">
            <w:pPr>
              <w:ind w:firstLine="567"/>
              <w:jc w:val="both"/>
              <w:rPr>
                <w:rFonts w:eastAsia="Times New Roman"/>
                <w:sz w:val="22"/>
                <w:lang w:eastAsia="lv-LV"/>
              </w:rPr>
            </w:pPr>
            <w:r w:rsidRPr="00F73597">
              <w:rPr>
                <w:rFonts w:eastAsia="Times New Roman"/>
                <w:sz w:val="22"/>
                <w:lang w:eastAsia="lv-LV"/>
              </w:rPr>
              <w:t>3) šā likuma 18.panta pirmās daļas 8., 12., 14. un 22.punktā, 24.panta otrajā daļā un 25.panta pirmajā daļā noteiktajos gadījumos;</w:t>
            </w:r>
          </w:p>
          <w:p w:rsidR="0023009E" w:rsidRPr="00F73597" w:rsidRDefault="0023009E" w:rsidP="00F73597">
            <w:pPr>
              <w:ind w:firstLine="567"/>
              <w:jc w:val="both"/>
              <w:rPr>
                <w:rFonts w:eastAsia="Times New Roman"/>
                <w:sz w:val="22"/>
                <w:lang w:eastAsia="lv-LV"/>
              </w:rPr>
            </w:pPr>
          </w:p>
        </w:tc>
        <w:tc>
          <w:tcPr>
            <w:tcW w:w="3827" w:type="dxa"/>
            <w:shd w:val="clear" w:color="auto" w:fill="auto"/>
          </w:tcPr>
          <w:p w:rsidR="0023009E" w:rsidRPr="00722021" w:rsidRDefault="0023009E" w:rsidP="00271EF7">
            <w:pPr>
              <w:ind w:firstLine="567"/>
              <w:jc w:val="both"/>
              <w:rPr>
                <w:rFonts w:eastAsia="Times New Roman"/>
                <w:sz w:val="22"/>
                <w:lang w:eastAsia="lv-LV"/>
              </w:rPr>
            </w:pPr>
            <w:r w:rsidRPr="00722021">
              <w:rPr>
                <w:rFonts w:eastAsia="Times New Roman"/>
                <w:sz w:val="22"/>
                <w:lang w:eastAsia="lv-LV"/>
              </w:rPr>
              <w:lastRenderedPageBreak/>
              <w:t>3. 22. panta pirmajā daļā:</w:t>
            </w:r>
          </w:p>
          <w:p w:rsidR="0023009E" w:rsidRPr="00271EF7" w:rsidRDefault="0023009E" w:rsidP="00271EF7">
            <w:pPr>
              <w:ind w:firstLine="567"/>
              <w:jc w:val="both"/>
              <w:rPr>
                <w:rFonts w:eastAsia="Times New Roman"/>
                <w:sz w:val="22"/>
                <w:lang w:eastAsia="lv-LV"/>
              </w:rPr>
            </w:pPr>
            <w:r w:rsidRPr="00722021">
              <w:rPr>
                <w:rFonts w:eastAsia="Times New Roman"/>
                <w:sz w:val="22"/>
                <w:lang w:eastAsia="lv-LV"/>
              </w:rPr>
              <w:t>aizstāt 3. punktā vārdus un skaitli "un 22. punktā" ar skaitļiem un vārdiem "22., 28., 29. un 30. punktā";</w:t>
            </w:r>
          </w:p>
        </w:tc>
        <w:tc>
          <w:tcPr>
            <w:tcW w:w="1418" w:type="dxa"/>
          </w:tcPr>
          <w:p w:rsidR="0023009E" w:rsidRPr="00A575BA" w:rsidRDefault="0023009E" w:rsidP="00EF0E8C">
            <w:pPr>
              <w:jc w:val="center"/>
              <w:rPr>
                <w:rFonts w:eastAsia="Times New Roman"/>
                <w:b/>
                <w:color w:val="000000" w:themeColor="text1"/>
                <w:sz w:val="22"/>
                <w:lang w:eastAsia="lv-LV"/>
              </w:rPr>
            </w:pPr>
            <w:r w:rsidRPr="00A575BA">
              <w:rPr>
                <w:rFonts w:eastAsia="Times New Roman"/>
                <w:b/>
                <w:color w:val="000000" w:themeColor="text1"/>
                <w:sz w:val="22"/>
                <w:lang w:eastAsia="lv-LV"/>
              </w:rPr>
              <w:t>9</w:t>
            </w:r>
          </w:p>
        </w:tc>
        <w:tc>
          <w:tcPr>
            <w:tcW w:w="3827" w:type="dxa"/>
          </w:tcPr>
          <w:p w:rsidR="0023009E" w:rsidRPr="00693415" w:rsidRDefault="0023009E" w:rsidP="00693415">
            <w:pPr>
              <w:ind w:firstLine="567"/>
              <w:jc w:val="both"/>
              <w:rPr>
                <w:rFonts w:eastAsia="Times New Roman"/>
                <w:b/>
                <w:sz w:val="22"/>
                <w:u w:val="single"/>
                <w:lang w:eastAsia="lv-LV"/>
              </w:rPr>
            </w:pPr>
            <w:r w:rsidRPr="00693415">
              <w:rPr>
                <w:rFonts w:eastAsia="Times New Roman"/>
                <w:b/>
                <w:sz w:val="22"/>
                <w:u w:val="single"/>
                <w:lang w:eastAsia="lv-LV"/>
              </w:rPr>
              <w:t>Frakcija “No sirds Latvijai”</w:t>
            </w:r>
          </w:p>
          <w:p w:rsidR="0023009E" w:rsidRPr="00693415" w:rsidRDefault="0023009E" w:rsidP="00693415">
            <w:pPr>
              <w:tabs>
                <w:tab w:val="left" w:pos="1220"/>
              </w:tabs>
              <w:ind w:firstLine="567"/>
              <w:contextualSpacing/>
              <w:jc w:val="both"/>
              <w:rPr>
                <w:sz w:val="22"/>
              </w:rPr>
            </w:pPr>
            <w:r w:rsidRPr="00693415">
              <w:rPr>
                <w:sz w:val="22"/>
              </w:rPr>
              <w:t xml:space="preserve">Izslēgt likumprojekta </w:t>
            </w:r>
            <w:r>
              <w:rPr>
                <w:sz w:val="22"/>
              </w:rPr>
              <w:t>3</w:t>
            </w:r>
            <w:r w:rsidRPr="00693415">
              <w:rPr>
                <w:sz w:val="22"/>
              </w:rPr>
              <w:t>.pantu.</w:t>
            </w:r>
          </w:p>
          <w:p w:rsidR="0023009E" w:rsidRPr="00496988" w:rsidRDefault="0023009E" w:rsidP="002E259F">
            <w:pPr>
              <w:ind w:firstLine="567"/>
              <w:jc w:val="both"/>
              <w:rPr>
                <w:rFonts w:eastAsia="Times New Roman"/>
                <w:color w:val="000000" w:themeColor="text1"/>
                <w:sz w:val="22"/>
                <w:lang w:eastAsia="lv-LV"/>
              </w:rPr>
            </w:pPr>
          </w:p>
        </w:tc>
        <w:tc>
          <w:tcPr>
            <w:tcW w:w="1559" w:type="dxa"/>
          </w:tcPr>
          <w:p w:rsidR="0023009E" w:rsidRPr="00496988" w:rsidRDefault="0023009E" w:rsidP="0023009E">
            <w:pPr>
              <w:jc w:val="both"/>
              <w:rPr>
                <w:rFonts w:eastAsia="Times New Roman"/>
                <w:color w:val="000000" w:themeColor="text1"/>
                <w:sz w:val="22"/>
                <w:lang w:eastAsia="lv-LV"/>
              </w:rPr>
            </w:pPr>
            <w:r w:rsidRPr="0023009E">
              <w:rPr>
                <w:rFonts w:eastAsia="Times New Roman"/>
                <w:b/>
                <w:color w:val="000000" w:themeColor="text1"/>
                <w:sz w:val="22"/>
                <w:lang w:eastAsia="lv-LV"/>
              </w:rPr>
              <w:t>Neatbalstīt</w:t>
            </w:r>
          </w:p>
        </w:tc>
        <w:tc>
          <w:tcPr>
            <w:tcW w:w="1134" w:type="dxa"/>
          </w:tcPr>
          <w:p w:rsidR="0023009E" w:rsidRPr="00496988" w:rsidRDefault="0023009E" w:rsidP="00EF0E8C">
            <w:pPr>
              <w:ind w:firstLine="567"/>
              <w:jc w:val="both"/>
              <w:rPr>
                <w:rFonts w:eastAsia="Times New Roman"/>
                <w:color w:val="000000" w:themeColor="text1"/>
                <w:sz w:val="22"/>
                <w:lang w:eastAsia="lv-LV"/>
              </w:rPr>
            </w:pPr>
          </w:p>
        </w:tc>
      </w:tr>
      <w:tr w:rsidR="0023009E" w:rsidRPr="00496988" w:rsidTr="00EB7EDD">
        <w:tc>
          <w:tcPr>
            <w:tcW w:w="3403" w:type="dxa"/>
            <w:shd w:val="clear" w:color="auto" w:fill="auto"/>
          </w:tcPr>
          <w:p w:rsidR="0023009E" w:rsidRPr="00F73597" w:rsidRDefault="0023009E" w:rsidP="00EF0E8C">
            <w:pPr>
              <w:ind w:firstLine="567"/>
              <w:jc w:val="both"/>
              <w:rPr>
                <w:color w:val="000000" w:themeColor="text1"/>
                <w:sz w:val="22"/>
              </w:rPr>
            </w:pPr>
            <w:r w:rsidRPr="00F73597">
              <w:rPr>
                <w:sz w:val="22"/>
              </w:rPr>
              <w:lastRenderedPageBreak/>
              <w:t>4) normatīvajos aktos noteikto nodokļu maksātāju pienākumu izpildes nodrošināšanai, komercdarbības vides drošības, godīgas konkurences un labprātīgas nodokļu (nodevu) saistību izpildes veicināšanai — informāciju par to, vai personai attiecīgajā taksācijas periodā ir mikrouzņēmumu nodokļa maksātāja statuss.</w:t>
            </w:r>
          </w:p>
        </w:tc>
        <w:tc>
          <w:tcPr>
            <w:tcW w:w="3827" w:type="dxa"/>
            <w:shd w:val="clear" w:color="auto" w:fill="auto"/>
          </w:tcPr>
          <w:p w:rsidR="0023009E" w:rsidRPr="00722021" w:rsidRDefault="0023009E" w:rsidP="00271EF7">
            <w:pPr>
              <w:ind w:firstLine="567"/>
              <w:jc w:val="both"/>
              <w:rPr>
                <w:rFonts w:eastAsia="Times New Roman"/>
                <w:sz w:val="22"/>
                <w:lang w:eastAsia="lv-LV"/>
              </w:rPr>
            </w:pPr>
            <w:r w:rsidRPr="00722021">
              <w:rPr>
                <w:rFonts w:eastAsia="Times New Roman"/>
                <w:sz w:val="22"/>
                <w:lang w:eastAsia="lv-LV"/>
              </w:rPr>
              <w:t>papildināt daļu ar 5. un 6. punktu šādā redakcijā:</w:t>
            </w:r>
          </w:p>
          <w:p w:rsidR="0023009E" w:rsidRPr="00722021" w:rsidRDefault="0023009E" w:rsidP="00271EF7">
            <w:pPr>
              <w:ind w:firstLine="567"/>
              <w:jc w:val="both"/>
              <w:rPr>
                <w:rFonts w:eastAsia="Times New Roman"/>
                <w:sz w:val="22"/>
                <w:lang w:eastAsia="lv-LV"/>
              </w:rPr>
            </w:pPr>
            <w:r w:rsidRPr="00722021">
              <w:rPr>
                <w:rFonts w:eastAsia="Times New Roman"/>
                <w:sz w:val="22"/>
                <w:lang w:eastAsia="lv-LV"/>
              </w:rPr>
              <w:t> "5) informāciju par nodokļu maksātāja amatpersonu, kura ir vai bija amatpersona komercsabiedrībā un kuras amata pienākumu pildīšanas laikā ir iestājušies apstākļi, kas bija par pamatu komercsabiedrības saimnieciskās darbības apturēšanai;</w:t>
            </w:r>
          </w:p>
          <w:p w:rsidR="0023009E" w:rsidRPr="00271EF7" w:rsidRDefault="0023009E" w:rsidP="00271EF7">
            <w:pPr>
              <w:ind w:firstLine="567"/>
              <w:jc w:val="both"/>
              <w:rPr>
                <w:rFonts w:eastAsia="Times New Roman"/>
                <w:sz w:val="22"/>
                <w:lang w:eastAsia="lv-LV"/>
              </w:rPr>
            </w:pPr>
            <w:r w:rsidRPr="00722021">
              <w:rPr>
                <w:rFonts w:eastAsia="Times New Roman"/>
                <w:sz w:val="22"/>
                <w:lang w:eastAsia="lv-LV"/>
              </w:rPr>
              <w:t>6) informāciju par nodokļu maksātāju, kas ir administratīvi sodīts par darba samaksas noteikumu pārkāpšanu un lēmumu par administratīvā soda uzlikšanu ir labprātīgi izpildījis, norādot lēmuma (nolēmuma) spēkā stāšanās un izpildes datumu, fiziskās personas vārdu, uzvārdu un personas kodu, bet valdes loceklim – vārdu, uzvārdu, juridiskās personas nosaukumu un reģistrācijas numuru. Šo informāciju izpauž pēc tam, kad stājies spēkā un likumā noteiktajā termiņā nav apstrīdēts vai pārsūdzēts attiecīgais administratīvā pārkāpumu lietā pieņemtais lēmums vai stājies spēkā attiecīgs tiesas nolēmums."</w:t>
            </w:r>
          </w:p>
        </w:tc>
        <w:tc>
          <w:tcPr>
            <w:tcW w:w="1418" w:type="dxa"/>
          </w:tcPr>
          <w:p w:rsidR="0023009E" w:rsidRPr="00A575BA" w:rsidRDefault="0023009E" w:rsidP="00EF0E8C">
            <w:pPr>
              <w:jc w:val="center"/>
              <w:rPr>
                <w:rFonts w:eastAsia="Times New Roman"/>
                <w:b/>
                <w:color w:val="000000" w:themeColor="text1"/>
                <w:sz w:val="22"/>
                <w:lang w:eastAsia="lv-LV"/>
              </w:rPr>
            </w:pPr>
            <w:r>
              <w:rPr>
                <w:rFonts w:eastAsia="Times New Roman"/>
                <w:b/>
                <w:color w:val="000000" w:themeColor="text1"/>
                <w:sz w:val="22"/>
                <w:lang w:eastAsia="lv-LV"/>
              </w:rPr>
              <w:t>10</w:t>
            </w:r>
          </w:p>
        </w:tc>
        <w:tc>
          <w:tcPr>
            <w:tcW w:w="3827" w:type="dxa"/>
          </w:tcPr>
          <w:p w:rsidR="0023009E" w:rsidRDefault="0023009E" w:rsidP="002E259F">
            <w:pPr>
              <w:tabs>
                <w:tab w:val="left" w:pos="0"/>
                <w:tab w:val="left" w:pos="1276"/>
              </w:tabs>
              <w:ind w:firstLine="567"/>
              <w:jc w:val="both"/>
              <w:rPr>
                <w:sz w:val="22"/>
              </w:rPr>
            </w:pPr>
            <w:r w:rsidRPr="002E259F">
              <w:rPr>
                <w:b/>
                <w:sz w:val="22"/>
                <w:u w:val="single"/>
              </w:rPr>
              <w:t>Finanšu ministre D.Reizniece–Ozola</w:t>
            </w:r>
          </w:p>
          <w:p w:rsidR="0023009E" w:rsidRPr="00F01380" w:rsidRDefault="0023009E" w:rsidP="002E259F">
            <w:pPr>
              <w:tabs>
                <w:tab w:val="left" w:pos="1276"/>
              </w:tabs>
              <w:ind w:firstLine="567"/>
              <w:jc w:val="both"/>
              <w:rPr>
                <w:sz w:val="22"/>
              </w:rPr>
            </w:pPr>
            <w:r w:rsidRPr="00F01380">
              <w:rPr>
                <w:sz w:val="22"/>
              </w:rPr>
              <w:t>Izteikt likumprojekta 2. panta otro daļu (iepriekš – 3. panta otrā daļa) šādā redakcijā:</w:t>
            </w:r>
          </w:p>
          <w:p w:rsidR="0023009E" w:rsidRPr="00F01380" w:rsidRDefault="0023009E" w:rsidP="002E259F">
            <w:pPr>
              <w:ind w:firstLine="567"/>
              <w:jc w:val="both"/>
              <w:rPr>
                <w:sz w:val="22"/>
              </w:rPr>
            </w:pPr>
            <w:r w:rsidRPr="00F01380">
              <w:rPr>
                <w:sz w:val="22"/>
              </w:rPr>
              <w:t>"papildināt daļu ar 5. punktu šādā redakcijā:</w:t>
            </w:r>
          </w:p>
          <w:p w:rsidR="0023009E" w:rsidRPr="00496988" w:rsidRDefault="0023009E" w:rsidP="002E259F">
            <w:pPr>
              <w:ind w:firstLine="567"/>
              <w:jc w:val="both"/>
              <w:rPr>
                <w:rFonts w:eastAsia="Times New Roman"/>
                <w:color w:val="000000" w:themeColor="text1"/>
                <w:sz w:val="22"/>
                <w:lang w:eastAsia="lv-LV"/>
              </w:rPr>
            </w:pPr>
            <w:r w:rsidRPr="00F01380">
              <w:rPr>
                <w:sz w:val="22"/>
              </w:rPr>
              <w:t>"5) lai veicinātu komercdarbības vides drošību, godīgu konkurenci un labprātīgu nodokļu (nodevu) saistību izpildi – informāciju par nodokļu maksātāja amatpersonu, kura iekļauta riska personu sarakstā, pamatojoties uz šā likuma 1. panta 31. punkta c) apakšpunktā minēto kritēriju, norādot fiziskās personas vārdu, uzvārdu un reģistrācijas kodu."</w:t>
            </w:r>
          </w:p>
        </w:tc>
        <w:tc>
          <w:tcPr>
            <w:tcW w:w="1559" w:type="dxa"/>
          </w:tcPr>
          <w:p w:rsidR="0023009E" w:rsidRPr="00496988" w:rsidRDefault="0023009E" w:rsidP="0023009E">
            <w:pPr>
              <w:jc w:val="both"/>
              <w:rPr>
                <w:rFonts w:eastAsia="Times New Roman"/>
                <w:color w:val="000000" w:themeColor="text1"/>
                <w:sz w:val="22"/>
                <w:lang w:eastAsia="lv-LV"/>
              </w:rPr>
            </w:pPr>
            <w:r>
              <w:rPr>
                <w:rFonts w:eastAsia="Times New Roman"/>
                <w:b/>
                <w:color w:val="000000" w:themeColor="text1"/>
                <w:sz w:val="22"/>
                <w:lang w:eastAsia="lv-LV"/>
              </w:rPr>
              <w:t>A</w:t>
            </w:r>
            <w:r w:rsidRPr="0023009E">
              <w:rPr>
                <w:rFonts w:eastAsia="Times New Roman"/>
                <w:b/>
                <w:color w:val="000000" w:themeColor="text1"/>
                <w:sz w:val="22"/>
                <w:lang w:eastAsia="lv-LV"/>
              </w:rPr>
              <w:t>tbalstīt</w:t>
            </w:r>
          </w:p>
        </w:tc>
        <w:tc>
          <w:tcPr>
            <w:tcW w:w="1134" w:type="dxa"/>
          </w:tcPr>
          <w:p w:rsidR="0023009E" w:rsidRPr="00496988" w:rsidRDefault="0023009E" w:rsidP="00EF0E8C">
            <w:pPr>
              <w:ind w:firstLine="567"/>
              <w:jc w:val="both"/>
              <w:rPr>
                <w:rFonts w:eastAsia="Times New Roman"/>
                <w:color w:val="000000" w:themeColor="text1"/>
                <w:sz w:val="22"/>
                <w:lang w:eastAsia="lv-LV"/>
              </w:rPr>
            </w:pPr>
          </w:p>
        </w:tc>
      </w:tr>
      <w:tr w:rsidR="0023009E" w:rsidRPr="00496988" w:rsidTr="00EB7EDD">
        <w:tc>
          <w:tcPr>
            <w:tcW w:w="3403" w:type="dxa"/>
            <w:shd w:val="clear" w:color="auto" w:fill="auto"/>
          </w:tcPr>
          <w:p w:rsidR="0023009E" w:rsidRPr="00F73597" w:rsidRDefault="0023009E" w:rsidP="00EF0E8C">
            <w:pPr>
              <w:ind w:firstLine="567"/>
              <w:jc w:val="both"/>
              <w:rPr>
                <w:sz w:val="22"/>
              </w:rPr>
            </w:pPr>
          </w:p>
        </w:tc>
        <w:tc>
          <w:tcPr>
            <w:tcW w:w="3827" w:type="dxa"/>
            <w:shd w:val="clear" w:color="auto" w:fill="auto"/>
          </w:tcPr>
          <w:p w:rsidR="0023009E" w:rsidRPr="00722021" w:rsidRDefault="0023009E" w:rsidP="00271EF7">
            <w:pPr>
              <w:ind w:firstLine="567"/>
              <w:jc w:val="both"/>
              <w:rPr>
                <w:rFonts w:eastAsia="Times New Roman"/>
                <w:sz w:val="22"/>
                <w:lang w:eastAsia="lv-LV"/>
              </w:rPr>
            </w:pPr>
          </w:p>
        </w:tc>
        <w:tc>
          <w:tcPr>
            <w:tcW w:w="1418" w:type="dxa"/>
          </w:tcPr>
          <w:p w:rsidR="0023009E" w:rsidRPr="00A575BA" w:rsidRDefault="0023009E" w:rsidP="00EF0E8C">
            <w:pPr>
              <w:jc w:val="center"/>
              <w:rPr>
                <w:rFonts w:eastAsia="Times New Roman"/>
                <w:b/>
                <w:color w:val="000000" w:themeColor="text1"/>
                <w:sz w:val="22"/>
                <w:lang w:eastAsia="lv-LV"/>
              </w:rPr>
            </w:pPr>
            <w:r w:rsidRPr="00A575BA">
              <w:rPr>
                <w:rFonts w:eastAsia="Times New Roman"/>
                <w:b/>
                <w:color w:val="000000" w:themeColor="text1"/>
                <w:sz w:val="22"/>
                <w:lang w:eastAsia="lv-LV"/>
              </w:rPr>
              <w:t>11</w:t>
            </w:r>
          </w:p>
        </w:tc>
        <w:tc>
          <w:tcPr>
            <w:tcW w:w="3827" w:type="dxa"/>
          </w:tcPr>
          <w:p w:rsidR="0023009E" w:rsidRDefault="0023009E" w:rsidP="002E259F">
            <w:pPr>
              <w:tabs>
                <w:tab w:val="left" w:pos="1276"/>
              </w:tabs>
              <w:ind w:firstLine="567"/>
              <w:jc w:val="both"/>
              <w:rPr>
                <w:sz w:val="22"/>
              </w:rPr>
            </w:pPr>
            <w:r w:rsidRPr="002E259F">
              <w:rPr>
                <w:b/>
                <w:sz w:val="22"/>
                <w:u w:val="single"/>
              </w:rPr>
              <w:t>Finanšu ministre D.Reizniece–Ozola</w:t>
            </w:r>
          </w:p>
          <w:p w:rsidR="0023009E" w:rsidRPr="00F01380" w:rsidRDefault="0023009E" w:rsidP="002E259F">
            <w:pPr>
              <w:tabs>
                <w:tab w:val="left" w:pos="1276"/>
              </w:tabs>
              <w:ind w:firstLine="567"/>
              <w:jc w:val="both"/>
              <w:rPr>
                <w:sz w:val="22"/>
              </w:rPr>
            </w:pPr>
            <w:r w:rsidRPr="00F01380">
              <w:rPr>
                <w:sz w:val="22"/>
              </w:rPr>
              <w:lastRenderedPageBreak/>
              <w:t>Papildināt likumprojektu ar jaunu 3. pantu  šādā redakcijā:</w:t>
            </w:r>
          </w:p>
          <w:p w:rsidR="0023009E" w:rsidRPr="00F01380" w:rsidRDefault="0023009E" w:rsidP="002E259F">
            <w:pPr>
              <w:tabs>
                <w:tab w:val="left" w:pos="1276"/>
              </w:tabs>
              <w:ind w:firstLine="567"/>
              <w:jc w:val="both"/>
              <w:rPr>
                <w:sz w:val="22"/>
              </w:rPr>
            </w:pPr>
            <w:r w:rsidRPr="00F01380">
              <w:rPr>
                <w:sz w:val="22"/>
              </w:rPr>
              <w:t>"3.  Papildināt V nodaļu ar 22.</w:t>
            </w:r>
            <w:r w:rsidRPr="00F01380">
              <w:rPr>
                <w:sz w:val="22"/>
                <w:vertAlign w:val="superscript"/>
              </w:rPr>
              <w:t>3</w:t>
            </w:r>
            <w:r w:rsidRPr="00F01380">
              <w:rPr>
                <w:sz w:val="22"/>
              </w:rPr>
              <w:t> pantu šādā redakcijā:</w:t>
            </w:r>
          </w:p>
          <w:p w:rsidR="0023009E" w:rsidRPr="00F01380" w:rsidRDefault="0023009E" w:rsidP="002E259F">
            <w:pPr>
              <w:ind w:firstLine="567"/>
              <w:jc w:val="both"/>
              <w:rPr>
                <w:sz w:val="22"/>
              </w:rPr>
            </w:pPr>
            <w:r w:rsidRPr="00F01380">
              <w:rPr>
                <w:sz w:val="22"/>
              </w:rPr>
              <w:t>"</w:t>
            </w:r>
            <w:r w:rsidRPr="00F01380">
              <w:rPr>
                <w:b/>
                <w:sz w:val="22"/>
              </w:rPr>
              <w:t>22.</w:t>
            </w:r>
            <w:r w:rsidRPr="00F01380">
              <w:rPr>
                <w:b/>
                <w:sz w:val="22"/>
                <w:vertAlign w:val="superscript"/>
              </w:rPr>
              <w:t>3</w:t>
            </w:r>
            <w:r w:rsidRPr="00F01380">
              <w:rPr>
                <w:b/>
                <w:sz w:val="22"/>
              </w:rPr>
              <w:t> pants.  I</w:t>
            </w:r>
            <w:r w:rsidRPr="00F01380">
              <w:rPr>
                <w:b/>
                <w:bCs/>
                <w:sz w:val="22"/>
                <w:shd w:val="clear" w:color="auto" w:fill="FFFFFF"/>
              </w:rPr>
              <w:t>nformācijas par fiziskās personas konta apgrozījumu sniegšana Valsts ieņēmumu dienestam</w:t>
            </w:r>
          </w:p>
          <w:p w:rsidR="0023009E" w:rsidRPr="00F01380" w:rsidRDefault="0023009E" w:rsidP="002E259F">
            <w:pPr>
              <w:ind w:firstLine="567"/>
              <w:jc w:val="both"/>
              <w:rPr>
                <w:sz w:val="22"/>
              </w:rPr>
            </w:pPr>
            <w:r w:rsidRPr="00F01380">
              <w:rPr>
                <w:sz w:val="22"/>
              </w:rPr>
              <w:t>(1)  Lai veicinātu nodokļu maksātāju labprātīgu nodokļu nomaksu, kredītiestāde un maksājumu pakalpojumu sniedzējs, kas sniedz ar maksājumu kontu saistītu pakalpojumu, līdz 1. februārim iesniedz Valsts ieņēmumu dienestam informāciju par fizisko personu - Latvijas Republikas rezidentu, kuru konta debeta vai kredīta apgrozījums iepriekšējā gadā pārsniedz 15 000 </w:t>
            </w:r>
            <w:r w:rsidRPr="00F01380">
              <w:rPr>
                <w:i/>
                <w:sz w:val="22"/>
              </w:rPr>
              <w:t>euro</w:t>
            </w:r>
            <w:r w:rsidRPr="00F01380">
              <w:rPr>
                <w:sz w:val="22"/>
              </w:rPr>
              <w:t>, norādot šādas ziņas:</w:t>
            </w:r>
          </w:p>
          <w:p w:rsidR="0023009E" w:rsidRPr="00F01380" w:rsidRDefault="0023009E" w:rsidP="002E259F">
            <w:pPr>
              <w:ind w:firstLine="567"/>
              <w:jc w:val="both"/>
              <w:rPr>
                <w:sz w:val="22"/>
              </w:rPr>
            </w:pPr>
            <w:r w:rsidRPr="00F01380">
              <w:rPr>
                <w:sz w:val="22"/>
              </w:rPr>
              <w:t>1)  vārdu, uzvārdu un personas kodu;</w:t>
            </w:r>
          </w:p>
          <w:p w:rsidR="0023009E" w:rsidRPr="00F01380" w:rsidRDefault="0023009E" w:rsidP="002E259F">
            <w:pPr>
              <w:ind w:firstLine="567"/>
              <w:jc w:val="both"/>
              <w:rPr>
                <w:sz w:val="22"/>
              </w:rPr>
            </w:pPr>
            <w:r w:rsidRPr="00F01380">
              <w:rPr>
                <w:sz w:val="22"/>
              </w:rPr>
              <w:t>2)  bankas konta numuru;</w:t>
            </w:r>
          </w:p>
          <w:p w:rsidR="0023009E" w:rsidRPr="00F01380" w:rsidRDefault="0023009E" w:rsidP="002E259F">
            <w:pPr>
              <w:ind w:firstLine="567"/>
              <w:jc w:val="both"/>
              <w:rPr>
                <w:sz w:val="22"/>
              </w:rPr>
            </w:pPr>
            <w:r w:rsidRPr="00F01380">
              <w:rPr>
                <w:sz w:val="22"/>
              </w:rPr>
              <w:t>3)  bankas konta atlikumu iepriekšējā kalendāra gada 31. decembrī;</w:t>
            </w:r>
          </w:p>
          <w:p w:rsidR="0023009E" w:rsidRPr="00F01380" w:rsidRDefault="0023009E" w:rsidP="002E259F">
            <w:pPr>
              <w:ind w:firstLine="567"/>
              <w:jc w:val="both"/>
              <w:rPr>
                <w:sz w:val="22"/>
              </w:rPr>
            </w:pPr>
            <w:r w:rsidRPr="00F01380">
              <w:rPr>
                <w:sz w:val="22"/>
              </w:rPr>
              <w:t>4)  bankas konta debeta apgrozījumu par iepriekšējo gadu;</w:t>
            </w:r>
          </w:p>
          <w:p w:rsidR="0023009E" w:rsidRPr="00F01380" w:rsidRDefault="0023009E" w:rsidP="002E259F">
            <w:pPr>
              <w:ind w:firstLine="567"/>
              <w:jc w:val="both"/>
              <w:rPr>
                <w:sz w:val="22"/>
              </w:rPr>
            </w:pPr>
            <w:r w:rsidRPr="00F01380">
              <w:rPr>
                <w:sz w:val="22"/>
              </w:rPr>
              <w:t>5)  bankas konta kredīta apgrozījumu par iepriekšējo gadu.</w:t>
            </w:r>
          </w:p>
          <w:p w:rsidR="0023009E" w:rsidRPr="00F01380" w:rsidRDefault="0023009E" w:rsidP="002E259F">
            <w:pPr>
              <w:ind w:firstLine="567"/>
              <w:jc w:val="both"/>
              <w:rPr>
                <w:sz w:val="22"/>
              </w:rPr>
            </w:pPr>
            <w:r w:rsidRPr="00F01380">
              <w:rPr>
                <w:sz w:val="22"/>
              </w:rPr>
              <w:t>(2)  Ministru kabinets nosaka kārtību, kādā Valsts ieņēmumu dienestam sniedzama šā panta pirmajā daļā minētā informācija.</w:t>
            </w:r>
          </w:p>
          <w:p w:rsidR="0023009E" w:rsidRPr="00F01380" w:rsidRDefault="0023009E" w:rsidP="002E259F">
            <w:pPr>
              <w:ind w:firstLine="567"/>
              <w:jc w:val="both"/>
              <w:rPr>
                <w:sz w:val="22"/>
                <w:shd w:val="clear" w:color="auto" w:fill="FFFFFF"/>
              </w:rPr>
            </w:pPr>
            <w:r w:rsidRPr="00F01380">
              <w:rPr>
                <w:sz w:val="22"/>
              </w:rPr>
              <w:t xml:space="preserve">(3)  No </w:t>
            </w:r>
            <w:r w:rsidRPr="00F01380">
              <w:rPr>
                <w:bCs/>
                <w:sz w:val="22"/>
                <w:shd w:val="clear" w:color="auto" w:fill="FFFFFF"/>
              </w:rPr>
              <w:t>kredītiestādes un maksājumu pakalpojumu sniedzēja, kas sniedz ar maksājumu kontu saistītu pakalpojumu,</w:t>
            </w:r>
            <w:r w:rsidRPr="00F01380">
              <w:rPr>
                <w:sz w:val="22"/>
              </w:rPr>
              <w:t xml:space="preserve"> šajā pantā noteiktajā kārtībā saņemto informāciju par fizisko personu</w:t>
            </w:r>
            <w:r w:rsidRPr="00F01380">
              <w:rPr>
                <w:sz w:val="22"/>
                <w:shd w:val="clear" w:color="auto" w:fill="FFFFFF"/>
              </w:rPr>
              <w:t xml:space="preserve"> Valsts ieņēmumu dienests glabā piecus gadus.</w:t>
            </w:r>
          </w:p>
          <w:p w:rsidR="0023009E" w:rsidRPr="002E259F" w:rsidRDefault="0023009E" w:rsidP="002E259F">
            <w:pPr>
              <w:tabs>
                <w:tab w:val="left" w:pos="0"/>
                <w:tab w:val="left" w:pos="1276"/>
              </w:tabs>
              <w:ind w:firstLine="567"/>
              <w:jc w:val="both"/>
              <w:rPr>
                <w:b/>
                <w:sz w:val="22"/>
                <w:u w:val="single"/>
              </w:rPr>
            </w:pPr>
            <w:r w:rsidRPr="00F01380">
              <w:rPr>
                <w:sz w:val="22"/>
                <w:shd w:val="clear" w:color="auto" w:fill="FFFFFF"/>
              </w:rPr>
              <w:lastRenderedPageBreak/>
              <w:t>(4)  </w:t>
            </w:r>
            <w:r w:rsidRPr="00F01380">
              <w:rPr>
                <w:sz w:val="22"/>
              </w:rPr>
              <w:t>Valsts ieņēmumu dienests veic nepieciešamos administratīvos, tehniskos un organizatoriskos pasākumus un nodrošina šajā pantā noteiktajā kārtībā saņemtās informācijas aizsardzību, lai novērstu neatļautu piekļūšanu šai informācijai, kā arī novērstu neatļautu tās grozīšanu, izplatīšanu vai iznīcināšanu.""</w:t>
            </w:r>
          </w:p>
        </w:tc>
        <w:tc>
          <w:tcPr>
            <w:tcW w:w="1559" w:type="dxa"/>
          </w:tcPr>
          <w:p w:rsidR="0023009E" w:rsidRPr="00496988" w:rsidRDefault="0023009E" w:rsidP="0023009E">
            <w:pPr>
              <w:jc w:val="both"/>
              <w:rPr>
                <w:rFonts w:eastAsia="Times New Roman"/>
                <w:color w:val="000000" w:themeColor="text1"/>
                <w:sz w:val="22"/>
                <w:lang w:eastAsia="lv-LV"/>
              </w:rPr>
            </w:pPr>
            <w:r>
              <w:rPr>
                <w:rFonts w:eastAsia="Times New Roman"/>
                <w:b/>
                <w:color w:val="000000" w:themeColor="text1"/>
                <w:sz w:val="22"/>
                <w:lang w:eastAsia="lv-LV"/>
              </w:rPr>
              <w:lastRenderedPageBreak/>
              <w:t>A</w:t>
            </w:r>
            <w:r w:rsidRPr="0023009E">
              <w:rPr>
                <w:rFonts w:eastAsia="Times New Roman"/>
                <w:b/>
                <w:color w:val="000000" w:themeColor="text1"/>
                <w:sz w:val="22"/>
                <w:lang w:eastAsia="lv-LV"/>
              </w:rPr>
              <w:t>tbalstīt</w:t>
            </w:r>
          </w:p>
        </w:tc>
        <w:tc>
          <w:tcPr>
            <w:tcW w:w="1134" w:type="dxa"/>
          </w:tcPr>
          <w:p w:rsidR="0023009E" w:rsidRPr="00496988" w:rsidRDefault="0023009E" w:rsidP="00EF0E8C">
            <w:pPr>
              <w:ind w:firstLine="567"/>
              <w:jc w:val="both"/>
              <w:rPr>
                <w:rFonts w:eastAsia="Times New Roman"/>
                <w:color w:val="000000" w:themeColor="text1"/>
                <w:sz w:val="22"/>
                <w:lang w:eastAsia="lv-LV"/>
              </w:rPr>
            </w:pPr>
          </w:p>
        </w:tc>
      </w:tr>
      <w:tr w:rsidR="0023009E" w:rsidRPr="00496988" w:rsidTr="00EB7EDD">
        <w:tc>
          <w:tcPr>
            <w:tcW w:w="3403" w:type="dxa"/>
            <w:shd w:val="clear" w:color="auto" w:fill="auto"/>
          </w:tcPr>
          <w:p w:rsidR="0023009E" w:rsidRPr="00F73597" w:rsidRDefault="0023009E" w:rsidP="00F73597">
            <w:pPr>
              <w:ind w:firstLine="567"/>
              <w:jc w:val="both"/>
              <w:rPr>
                <w:b/>
                <w:bCs/>
                <w:sz w:val="22"/>
              </w:rPr>
            </w:pPr>
            <w:r w:rsidRPr="00F73597">
              <w:rPr>
                <w:b/>
                <w:bCs/>
                <w:sz w:val="22"/>
              </w:rPr>
              <w:lastRenderedPageBreak/>
              <w:t>26.pants. Nokavēto nodokļu maksājumu piedziņa</w:t>
            </w:r>
          </w:p>
          <w:p w:rsidR="0023009E" w:rsidRPr="00F73597" w:rsidRDefault="0023009E" w:rsidP="00F73597">
            <w:pPr>
              <w:ind w:firstLine="567"/>
              <w:jc w:val="both"/>
              <w:rPr>
                <w:rFonts w:eastAsia="Times New Roman"/>
                <w:sz w:val="22"/>
                <w:lang w:eastAsia="lv-LV"/>
              </w:rPr>
            </w:pPr>
            <w:r w:rsidRPr="00F73597">
              <w:rPr>
                <w:rFonts w:eastAsia="Times New Roman"/>
                <w:sz w:val="22"/>
                <w:lang w:eastAsia="lv-LV"/>
              </w:rPr>
              <w:t>(8) Lēmumu par nokavēto nodokļu maksājumu piedziņu izpilda triju gadu laikā no tā pieņemšanas, izņemot šā panta 8.</w:t>
            </w:r>
            <w:r w:rsidRPr="00F73597">
              <w:rPr>
                <w:rFonts w:eastAsia="Times New Roman"/>
                <w:sz w:val="22"/>
                <w:vertAlign w:val="superscript"/>
                <w:lang w:eastAsia="lv-LV"/>
              </w:rPr>
              <w:t>1</w:t>
            </w:r>
            <w:r w:rsidRPr="00F73597">
              <w:rPr>
                <w:rFonts w:eastAsia="Times New Roman"/>
                <w:sz w:val="22"/>
                <w:lang w:eastAsia="lv-LV"/>
              </w:rPr>
              <w:t xml:space="preserve"> daļā minēto gadījumu. Lēmuma izpildes </w:t>
            </w:r>
          </w:p>
          <w:p w:rsidR="0023009E" w:rsidRPr="00F73597" w:rsidRDefault="0023009E" w:rsidP="00F73597">
            <w:pPr>
              <w:ind w:firstLine="567"/>
              <w:jc w:val="both"/>
              <w:rPr>
                <w:rFonts w:eastAsia="Times New Roman"/>
                <w:sz w:val="22"/>
                <w:lang w:eastAsia="lv-LV"/>
              </w:rPr>
            </w:pPr>
            <w:r w:rsidRPr="00F73597">
              <w:rPr>
                <w:rFonts w:eastAsia="Times New Roman"/>
                <w:sz w:val="22"/>
                <w:lang w:eastAsia="lv-LV"/>
              </w:rPr>
              <w:t>8) pieņemts un reģistrēts lēmums par nodokļu maksātāja likvidāciju, — līdz likvidācijas procesa pabeigšanai;</w:t>
            </w:r>
          </w:p>
        </w:tc>
        <w:tc>
          <w:tcPr>
            <w:tcW w:w="3827" w:type="dxa"/>
            <w:shd w:val="clear" w:color="auto" w:fill="auto"/>
          </w:tcPr>
          <w:p w:rsidR="0023009E" w:rsidRPr="00722021" w:rsidRDefault="0023009E" w:rsidP="00271EF7">
            <w:pPr>
              <w:ind w:firstLine="567"/>
              <w:jc w:val="both"/>
              <w:rPr>
                <w:rFonts w:eastAsia="Times New Roman"/>
                <w:sz w:val="22"/>
                <w:lang w:eastAsia="lv-LV"/>
              </w:rPr>
            </w:pPr>
            <w:r w:rsidRPr="00722021">
              <w:rPr>
                <w:rFonts w:eastAsia="Times New Roman"/>
                <w:sz w:val="22"/>
                <w:lang w:eastAsia="lv-LV"/>
              </w:rPr>
              <w:t>4. 26.pantā:</w:t>
            </w:r>
          </w:p>
          <w:p w:rsidR="0023009E" w:rsidRPr="00271EF7" w:rsidRDefault="0023009E" w:rsidP="00271EF7">
            <w:pPr>
              <w:ind w:firstLine="567"/>
              <w:jc w:val="both"/>
              <w:rPr>
                <w:rFonts w:eastAsia="Times New Roman"/>
                <w:sz w:val="22"/>
                <w:lang w:eastAsia="lv-LV"/>
              </w:rPr>
            </w:pPr>
            <w:r w:rsidRPr="00722021">
              <w:rPr>
                <w:rFonts w:eastAsia="Times New Roman"/>
                <w:sz w:val="22"/>
                <w:lang w:eastAsia="lv-LV"/>
              </w:rPr>
              <w:t>izslēgt astotās daļas 8. punktu;</w:t>
            </w:r>
          </w:p>
        </w:tc>
        <w:tc>
          <w:tcPr>
            <w:tcW w:w="1418" w:type="dxa"/>
          </w:tcPr>
          <w:p w:rsidR="0023009E" w:rsidRPr="00496988" w:rsidRDefault="0023009E" w:rsidP="00EF0E8C">
            <w:pPr>
              <w:jc w:val="center"/>
              <w:rPr>
                <w:rFonts w:eastAsia="Times New Roman"/>
                <w:color w:val="000000" w:themeColor="text1"/>
                <w:sz w:val="22"/>
                <w:lang w:eastAsia="lv-LV"/>
              </w:rPr>
            </w:pPr>
          </w:p>
        </w:tc>
        <w:tc>
          <w:tcPr>
            <w:tcW w:w="3827" w:type="dxa"/>
          </w:tcPr>
          <w:p w:rsidR="0023009E" w:rsidRPr="00496988" w:rsidRDefault="0023009E" w:rsidP="002E259F">
            <w:pPr>
              <w:ind w:firstLine="567"/>
              <w:jc w:val="both"/>
              <w:rPr>
                <w:rFonts w:eastAsia="Times New Roman"/>
                <w:color w:val="000000" w:themeColor="text1"/>
                <w:sz w:val="22"/>
                <w:lang w:eastAsia="lv-LV"/>
              </w:rPr>
            </w:pPr>
          </w:p>
        </w:tc>
        <w:tc>
          <w:tcPr>
            <w:tcW w:w="1559" w:type="dxa"/>
          </w:tcPr>
          <w:p w:rsidR="0023009E" w:rsidRPr="00496988" w:rsidRDefault="0023009E" w:rsidP="00EF0E8C">
            <w:pPr>
              <w:ind w:firstLine="567"/>
              <w:jc w:val="both"/>
              <w:rPr>
                <w:rFonts w:eastAsia="Times New Roman"/>
                <w:color w:val="000000" w:themeColor="text1"/>
                <w:sz w:val="22"/>
                <w:lang w:eastAsia="lv-LV"/>
              </w:rPr>
            </w:pPr>
          </w:p>
        </w:tc>
        <w:tc>
          <w:tcPr>
            <w:tcW w:w="1134" w:type="dxa"/>
          </w:tcPr>
          <w:p w:rsidR="0023009E" w:rsidRPr="00496988" w:rsidRDefault="0023009E" w:rsidP="00EF0E8C">
            <w:pPr>
              <w:ind w:firstLine="567"/>
              <w:jc w:val="both"/>
              <w:rPr>
                <w:rFonts w:eastAsia="Times New Roman"/>
                <w:color w:val="000000" w:themeColor="text1"/>
                <w:sz w:val="22"/>
                <w:lang w:eastAsia="lv-LV"/>
              </w:rPr>
            </w:pPr>
          </w:p>
        </w:tc>
      </w:tr>
      <w:tr w:rsidR="0023009E" w:rsidRPr="00496988" w:rsidTr="00EB7EDD">
        <w:tc>
          <w:tcPr>
            <w:tcW w:w="3403" w:type="dxa"/>
            <w:shd w:val="clear" w:color="auto" w:fill="auto"/>
          </w:tcPr>
          <w:p w:rsidR="0023009E" w:rsidRPr="00F73597" w:rsidRDefault="0023009E" w:rsidP="00F73597">
            <w:pPr>
              <w:ind w:firstLine="567"/>
              <w:jc w:val="both"/>
              <w:rPr>
                <w:rFonts w:eastAsia="Times New Roman"/>
                <w:sz w:val="22"/>
                <w:lang w:eastAsia="lv-LV"/>
              </w:rPr>
            </w:pPr>
            <w:r w:rsidRPr="00F73597">
              <w:rPr>
                <w:rFonts w:eastAsia="Times New Roman"/>
                <w:sz w:val="22"/>
                <w:lang w:eastAsia="lv-LV"/>
              </w:rPr>
              <w:t>(9) Lēmums par nokavēto nodokļu maksājumu piedziņu zaudē spēku:</w:t>
            </w:r>
          </w:p>
          <w:p w:rsidR="0023009E" w:rsidRPr="00F73597" w:rsidRDefault="0023009E" w:rsidP="00F73597">
            <w:pPr>
              <w:ind w:firstLine="567"/>
              <w:jc w:val="both"/>
              <w:rPr>
                <w:rFonts w:eastAsia="Times New Roman"/>
                <w:sz w:val="22"/>
                <w:lang w:eastAsia="lv-LV"/>
              </w:rPr>
            </w:pPr>
            <w:r w:rsidRPr="00F73597">
              <w:rPr>
                <w:rFonts w:eastAsia="Times New Roman"/>
                <w:sz w:val="22"/>
                <w:lang w:eastAsia="lv-LV"/>
              </w:rPr>
              <w:t>4) ja lēmums par nokavēto nodokļu maksājumu piedziņu nav izpildīts šā panta astotajā daļā noteiktajā termiņā un nodokļu administrācijas rīcībā ir tiesiski apstiprināts akts par piedziņas neiespējamību;</w:t>
            </w:r>
          </w:p>
          <w:p w:rsidR="0023009E" w:rsidRPr="00496988" w:rsidRDefault="0023009E" w:rsidP="00EF0E8C">
            <w:pPr>
              <w:ind w:firstLine="567"/>
              <w:jc w:val="both"/>
              <w:rPr>
                <w:color w:val="000000" w:themeColor="text1"/>
                <w:sz w:val="22"/>
              </w:rPr>
            </w:pPr>
          </w:p>
        </w:tc>
        <w:tc>
          <w:tcPr>
            <w:tcW w:w="3827" w:type="dxa"/>
            <w:shd w:val="clear" w:color="auto" w:fill="auto"/>
          </w:tcPr>
          <w:p w:rsidR="0023009E" w:rsidRPr="00722021" w:rsidRDefault="0023009E" w:rsidP="00271EF7">
            <w:pPr>
              <w:ind w:firstLine="567"/>
              <w:jc w:val="both"/>
              <w:rPr>
                <w:rFonts w:eastAsia="Times New Roman"/>
                <w:sz w:val="22"/>
                <w:lang w:eastAsia="lv-LV"/>
              </w:rPr>
            </w:pPr>
            <w:r w:rsidRPr="00722021">
              <w:rPr>
                <w:rFonts w:eastAsia="Times New Roman"/>
                <w:sz w:val="22"/>
                <w:lang w:eastAsia="lv-LV"/>
              </w:rPr>
              <w:t>izteikt devītās daļas 4. punktu šādā redakcijā:</w:t>
            </w:r>
          </w:p>
          <w:p w:rsidR="0023009E" w:rsidRPr="00271EF7" w:rsidRDefault="0023009E" w:rsidP="00271EF7">
            <w:pPr>
              <w:ind w:firstLine="567"/>
              <w:jc w:val="both"/>
              <w:rPr>
                <w:rFonts w:eastAsia="Times New Roman"/>
                <w:sz w:val="22"/>
                <w:lang w:eastAsia="lv-LV"/>
              </w:rPr>
            </w:pPr>
            <w:r w:rsidRPr="00722021">
              <w:rPr>
                <w:rFonts w:eastAsia="Times New Roman"/>
                <w:sz w:val="22"/>
                <w:lang w:eastAsia="lv-LV"/>
              </w:rPr>
              <w:t xml:space="preserve"> "4) ja lēmums par nokavēto nodokļu maksājumu piedziņu nav izpildīts šā panta astotajā daļā noteiktajā termiņā un nodokļu administrācijas rīcībā ir </w:t>
            </w:r>
            <w:r w:rsidRPr="002E259F">
              <w:rPr>
                <w:rFonts w:eastAsia="Times New Roman"/>
                <w:sz w:val="22"/>
                <w:u w:val="single"/>
                <w:lang w:eastAsia="lv-LV"/>
              </w:rPr>
              <w:t>tiesiski</w:t>
            </w:r>
            <w:r w:rsidRPr="00722021">
              <w:rPr>
                <w:rFonts w:eastAsia="Times New Roman"/>
                <w:sz w:val="22"/>
                <w:lang w:eastAsia="lv-LV"/>
              </w:rPr>
              <w:t xml:space="preserve"> apstiprināts akts par piedziņas neiespējamību, izņemot juridiskās personas. Juridiskām personām lēmums par nokavēto nodokļu maksājumu piedziņu zaudē spēku, ja ir sastādīts akts par piedziņas neiespējamību un gada laikā pēc tā sastādīšanas nodokļu administrācija nav ieguvusi informāciju, saskaņā ar kuru nodokļu administrācijai būtu pamats veikt darbības, lai izpildītu </w:t>
            </w:r>
            <w:r w:rsidRPr="00722021">
              <w:rPr>
                <w:rFonts w:eastAsia="Times New Roman"/>
                <w:sz w:val="22"/>
                <w:lang w:eastAsia="lv-LV"/>
              </w:rPr>
              <w:lastRenderedPageBreak/>
              <w:t>lēmumu par nokavēto nodokļu maksājumu piedziņu;".</w:t>
            </w:r>
          </w:p>
        </w:tc>
        <w:tc>
          <w:tcPr>
            <w:tcW w:w="1418" w:type="dxa"/>
          </w:tcPr>
          <w:p w:rsidR="0023009E" w:rsidRPr="00A575BA" w:rsidRDefault="0023009E" w:rsidP="00EF0E8C">
            <w:pPr>
              <w:jc w:val="center"/>
              <w:rPr>
                <w:rFonts w:eastAsia="Times New Roman"/>
                <w:b/>
                <w:color w:val="000000" w:themeColor="text1"/>
                <w:sz w:val="22"/>
                <w:lang w:eastAsia="lv-LV"/>
              </w:rPr>
            </w:pPr>
            <w:r w:rsidRPr="00A575BA">
              <w:rPr>
                <w:rFonts w:eastAsia="Times New Roman"/>
                <w:b/>
                <w:color w:val="000000" w:themeColor="text1"/>
                <w:sz w:val="22"/>
                <w:lang w:eastAsia="lv-LV"/>
              </w:rPr>
              <w:lastRenderedPageBreak/>
              <w:t>12</w:t>
            </w:r>
          </w:p>
        </w:tc>
        <w:tc>
          <w:tcPr>
            <w:tcW w:w="3827" w:type="dxa"/>
          </w:tcPr>
          <w:p w:rsidR="0023009E" w:rsidRDefault="0023009E" w:rsidP="002E259F">
            <w:pPr>
              <w:tabs>
                <w:tab w:val="left" w:pos="1276"/>
              </w:tabs>
              <w:ind w:firstLine="567"/>
              <w:jc w:val="both"/>
              <w:rPr>
                <w:sz w:val="22"/>
              </w:rPr>
            </w:pPr>
            <w:r w:rsidRPr="002E259F">
              <w:rPr>
                <w:b/>
                <w:sz w:val="22"/>
                <w:u w:val="single"/>
              </w:rPr>
              <w:t>Finanšu ministre D.Reizniece–Ozola</w:t>
            </w:r>
          </w:p>
          <w:p w:rsidR="0023009E" w:rsidRPr="00496988" w:rsidRDefault="0023009E" w:rsidP="00EF0E8C">
            <w:pPr>
              <w:ind w:firstLine="567"/>
              <w:jc w:val="both"/>
              <w:rPr>
                <w:rFonts w:eastAsia="Times New Roman"/>
                <w:color w:val="000000" w:themeColor="text1"/>
                <w:sz w:val="22"/>
                <w:lang w:eastAsia="lv-LV"/>
              </w:rPr>
            </w:pPr>
            <w:r w:rsidRPr="00F01380">
              <w:rPr>
                <w:sz w:val="22"/>
              </w:rPr>
              <w:t>Likumprojekta 4. panta otrajā daļā svītrot vārdu "tiesiski".</w:t>
            </w:r>
          </w:p>
        </w:tc>
        <w:tc>
          <w:tcPr>
            <w:tcW w:w="1559" w:type="dxa"/>
          </w:tcPr>
          <w:p w:rsidR="0023009E" w:rsidRPr="00496988" w:rsidRDefault="0023009E" w:rsidP="0023009E">
            <w:pPr>
              <w:jc w:val="both"/>
              <w:rPr>
                <w:rFonts w:eastAsia="Times New Roman"/>
                <w:color w:val="000000" w:themeColor="text1"/>
                <w:sz w:val="22"/>
                <w:lang w:eastAsia="lv-LV"/>
              </w:rPr>
            </w:pPr>
            <w:r>
              <w:rPr>
                <w:rFonts w:eastAsia="Times New Roman"/>
                <w:b/>
                <w:color w:val="000000" w:themeColor="text1"/>
                <w:sz w:val="22"/>
                <w:lang w:eastAsia="lv-LV"/>
              </w:rPr>
              <w:t>A</w:t>
            </w:r>
            <w:r w:rsidRPr="0023009E">
              <w:rPr>
                <w:rFonts w:eastAsia="Times New Roman"/>
                <w:b/>
                <w:color w:val="000000" w:themeColor="text1"/>
                <w:sz w:val="22"/>
                <w:lang w:eastAsia="lv-LV"/>
              </w:rPr>
              <w:t>tbalstīt</w:t>
            </w:r>
          </w:p>
        </w:tc>
        <w:tc>
          <w:tcPr>
            <w:tcW w:w="1134" w:type="dxa"/>
          </w:tcPr>
          <w:p w:rsidR="0023009E" w:rsidRPr="00496988" w:rsidRDefault="0023009E" w:rsidP="00EF0E8C">
            <w:pPr>
              <w:ind w:firstLine="567"/>
              <w:jc w:val="both"/>
              <w:rPr>
                <w:rFonts w:eastAsia="Times New Roman"/>
                <w:color w:val="000000" w:themeColor="text1"/>
                <w:sz w:val="22"/>
                <w:lang w:eastAsia="lv-LV"/>
              </w:rPr>
            </w:pPr>
          </w:p>
        </w:tc>
      </w:tr>
      <w:tr w:rsidR="0023009E" w:rsidRPr="00496988" w:rsidTr="00EB7EDD">
        <w:tc>
          <w:tcPr>
            <w:tcW w:w="3403" w:type="dxa"/>
            <w:shd w:val="clear" w:color="auto" w:fill="auto"/>
          </w:tcPr>
          <w:p w:rsidR="0023009E" w:rsidRPr="0034236F" w:rsidRDefault="0023009E" w:rsidP="0034236F">
            <w:pPr>
              <w:ind w:firstLine="567"/>
              <w:jc w:val="both"/>
              <w:rPr>
                <w:rFonts w:eastAsia="Times New Roman"/>
                <w:sz w:val="22"/>
                <w:lang w:eastAsia="lv-LV"/>
              </w:rPr>
            </w:pPr>
            <w:r w:rsidRPr="0034236F">
              <w:rPr>
                <w:rFonts w:eastAsia="Times New Roman"/>
                <w:sz w:val="22"/>
                <w:lang w:eastAsia="lv-LV"/>
              </w:rPr>
              <w:lastRenderedPageBreak/>
              <w:t>(1) Vienlaikus ar nodokļu administrācijas kontroles (pārbaudes, revīzijas) rezultātā pieņemtā lēmuma paziņošanu, kā arī lēmuma par nokavēto nodokļu maksājumu piedziņu pieņemšanu nodokļu administrācija ir tiesīga piemērot šādus minēto lēmumu izpildes nodrošinājuma līdzekļus:</w:t>
            </w:r>
          </w:p>
          <w:p w:rsidR="0023009E" w:rsidRPr="0034236F" w:rsidRDefault="0023009E" w:rsidP="0034236F">
            <w:pPr>
              <w:ind w:firstLine="567"/>
              <w:jc w:val="both"/>
              <w:rPr>
                <w:rFonts w:eastAsia="Times New Roman"/>
                <w:sz w:val="22"/>
                <w:lang w:eastAsia="lv-LV"/>
              </w:rPr>
            </w:pPr>
            <w:r w:rsidRPr="0034236F">
              <w:rPr>
                <w:rFonts w:eastAsia="Times New Roman"/>
                <w:sz w:val="22"/>
                <w:lang w:eastAsia="lv-LV"/>
              </w:rPr>
              <w:t>1) parādniekam piederošās kustamās mantas apķīlāšana;</w:t>
            </w:r>
          </w:p>
          <w:p w:rsidR="0023009E" w:rsidRPr="0034236F" w:rsidRDefault="0023009E" w:rsidP="0034236F">
            <w:pPr>
              <w:ind w:firstLine="567"/>
              <w:jc w:val="both"/>
              <w:rPr>
                <w:rFonts w:eastAsia="Times New Roman"/>
                <w:sz w:val="22"/>
                <w:lang w:eastAsia="lv-LV"/>
              </w:rPr>
            </w:pPr>
            <w:r w:rsidRPr="0034236F">
              <w:rPr>
                <w:rFonts w:eastAsia="Times New Roman"/>
                <w:sz w:val="22"/>
                <w:lang w:eastAsia="lv-LV"/>
              </w:rPr>
              <w:t>2) prasības nodrošinājuma atzīmes (aizlieguma vai ķīlas atzīmes) ierakstīšana zemesgrāmatā, kuģu reģistrā vai citos īpašuma reģistros;</w:t>
            </w:r>
          </w:p>
          <w:p w:rsidR="0023009E" w:rsidRPr="0034236F" w:rsidRDefault="0023009E" w:rsidP="0034236F">
            <w:pPr>
              <w:ind w:firstLine="567"/>
              <w:jc w:val="both"/>
              <w:rPr>
                <w:rFonts w:eastAsia="Times New Roman"/>
                <w:sz w:val="22"/>
                <w:lang w:eastAsia="lv-LV"/>
              </w:rPr>
            </w:pPr>
            <w:r w:rsidRPr="0034236F">
              <w:rPr>
                <w:rFonts w:eastAsia="Times New Roman"/>
                <w:sz w:val="22"/>
                <w:lang w:eastAsia="lv-LV"/>
              </w:rPr>
              <w:t>3) aizliegums parādniekam veikt noteiktas darbības, kas vērstas uz izvairīšanos no nodokļu maksāšanas;</w:t>
            </w:r>
          </w:p>
          <w:p w:rsidR="0023009E" w:rsidRPr="0034236F" w:rsidRDefault="0023009E" w:rsidP="0034236F">
            <w:pPr>
              <w:ind w:firstLine="567"/>
              <w:jc w:val="both"/>
              <w:rPr>
                <w:rFonts w:eastAsia="Times New Roman"/>
                <w:sz w:val="22"/>
                <w:lang w:eastAsia="lv-LV"/>
              </w:rPr>
            </w:pPr>
            <w:r w:rsidRPr="0034236F">
              <w:rPr>
                <w:rFonts w:eastAsia="Times New Roman"/>
                <w:sz w:val="22"/>
                <w:lang w:eastAsia="lv-LV"/>
              </w:rPr>
              <w:t>4) pie citas personas esošās parādniekam piederošās mantas apķīlāšana.</w:t>
            </w:r>
          </w:p>
        </w:tc>
        <w:tc>
          <w:tcPr>
            <w:tcW w:w="3827" w:type="dxa"/>
            <w:shd w:val="clear" w:color="auto" w:fill="auto"/>
          </w:tcPr>
          <w:p w:rsidR="0023009E" w:rsidRPr="00722021" w:rsidRDefault="0023009E" w:rsidP="00271EF7">
            <w:pPr>
              <w:ind w:firstLine="567"/>
              <w:jc w:val="both"/>
              <w:rPr>
                <w:rFonts w:eastAsia="Times New Roman"/>
                <w:sz w:val="22"/>
                <w:lang w:eastAsia="lv-LV"/>
              </w:rPr>
            </w:pPr>
            <w:r w:rsidRPr="00722021">
              <w:rPr>
                <w:rFonts w:eastAsia="Times New Roman"/>
                <w:sz w:val="22"/>
                <w:lang w:eastAsia="lv-LV"/>
              </w:rPr>
              <w:t>5. 26.</w:t>
            </w:r>
            <w:r w:rsidRPr="00722021">
              <w:rPr>
                <w:rFonts w:eastAsia="Times New Roman"/>
                <w:sz w:val="22"/>
                <w:vertAlign w:val="superscript"/>
                <w:lang w:eastAsia="lv-LV"/>
              </w:rPr>
              <w:t>1 </w:t>
            </w:r>
            <w:r w:rsidRPr="00722021">
              <w:rPr>
                <w:rFonts w:eastAsia="Times New Roman"/>
                <w:sz w:val="22"/>
                <w:lang w:eastAsia="lv-LV"/>
              </w:rPr>
              <w:t xml:space="preserve">pantā: </w:t>
            </w:r>
          </w:p>
          <w:p w:rsidR="0023009E" w:rsidRPr="00271EF7" w:rsidRDefault="0023009E" w:rsidP="00271EF7">
            <w:pPr>
              <w:ind w:firstLine="567"/>
              <w:jc w:val="both"/>
              <w:rPr>
                <w:rFonts w:eastAsia="Times New Roman"/>
                <w:sz w:val="22"/>
                <w:lang w:eastAsia="lv-LV"/>
              </w:rPr>
            </w:pPr>
            <w:r w:rsidRPr="00722021">
              <w:rPr>
                <w:rFonts w:eastAsia="Times New Roman"/>
                <w:sz w:val="22"/>
                <w:lang w:eastAsia="lv-LV"/>
              </w:rPr>
              <w:t>aizstāt pirmajā daļā vārdu "paziņošanu" ar vārdiem "pieņemšanu";</w:t>
            </w:r>
          </w:p>
        </w:tc>
        <w:tc>
          <w:tcPr>
            <w:tcW w:w="1418" w:type="dxa"/>
          </w:tcPr>
          <w:p w:rsidR="0023009E" w:rsidRPr="00496988" w:rsidRDefault="0023009E" w:rsidP="00EF0E8C">
            <w:pPr>
              <w:jc w:val="center"/>
              <w:rPr>
                <w:rFonts w:eastAsia="Times New Roman"/>
                <w:color w:val="000000" w:themeColor="text1"/>
                <w:sz w:val="22"/>
                <w:lang w:eastAsia="lv-LV"/>
              </w:rPr>
            </w:pPr>
          </w:p>
        </w:tc>
        <w:tc>
          <w:tcPr>
            <w:tcW w:w="3827" w:type="dxa"/>
          </w:tcPr>
          <w:p w:rsidR="0023009E" w:rsidRPr="00496988" w:rsidRDefault="0023009E" w:rsidP="00EF0E8C">
            <w:pPr>
              <w:ind w:firstLine="567"/>
              <w:jc w:val="both"/>
              <w:rPr>
                <w:rFonts w:eastAsia="Times New Roman"/>
                <w:color w:val="000000" w:themeColor="text1"/>
                <w:sz w:val="22"/>
                <w:lang w:eastAsia="lv-LV"/>
              </w:rPr>
            </w:pPr>
          </w:p>
        </w:tc>
        <w:tc>
          <w:tcPr>
            <w:tcW w:w="1559" w:type="dxa"/>
          </w:tcPr>
          <w:p w:rsidR="0023009E" w:rsidRPr="00496988" w:rsidRDefault="0023009E" w:rsidP="00EF0E8C">
            <w:pPr>
              <w:ind w:firstLine="567"/>
              <w:jc w:val="both"/>
              <w:rPr>
                <w:rFonts w:eastAsia="Times New Roman"/>
                <w:color w:val="000000" w:themeColor="text1"/>
                <w:sz w:val="22"/>
                <w:lang w:eastAsia="lv-LV"/>
              </w:rPr>
            </w:pPr>
          </w:p>
        </w:tc>
        <w:tc>
          <w:tcPr>
            <w:tcW w:w="1134" w:type="dxa"/>
          </w:tcPr>
          <w:p w:rsidR="0023009E" w:rsidRPr="00496988" w:rsidRDefault="0023009E" w:rsidP="00EF0E8C">
            <w:pPr>
              <w:ind w:firstLine="567"/>
              <w:jc w:val="both"/>
              <w:rPr>
                <w:rFonts w:eastAsia="Times New Roman"/>
                <w:color w:val="000000" w:themeColor="text1"/>
                <w:sz w:val="22"/>
                <w:lang w:eastAsia="lv-LV"/>
              </w:rPr>
            </w:pPr>
          </w:p>
        </w:tc>
      </w:tr>
      <w:tr w:rsidR="0023009E" w:rsidRPr="00496988" w:rsidTr="00EB7EDD">
        <w:tc>
          <w:tcPr>
            <w:tcW w:w="3403" w:type="dxa"/>
            <w:shd w:val="clear" w:color="auto" w:fill="auto"/>
          </w:tcPr>
          <w:p w:rsidR="0023009E" w:rsidRPr="0034236F" w:rsidRDefault="0023009E" w:rsidP="0034236F">
            <w:pPr>
              <w:ind w:firstLine="567"/>
              <w:jc w:val="both"/>
              <w:rPr>
                <w:rFonts w:eastAsia="Times New Roman"/>
                <w:sz w:val="22"/>
                <w:lang w:eastAsia="lv-LV"/>
              </w:rPr>
            </w:pPr>
            <w:r w:rsidRPr="0034236F">
              <w:rPr>
                <w:rFonts w:eastAsia="Times New Roman"/>
                <w:sz w:val="22"/>
                <w:lang w:eastAsia="lv-LV"/>
              </w:rPr>
              <w:t>(3</w:t>
            </w:r>
            <w:r w:rsidRPr="0034236F">
              <w:rPr>
                <w:rFonts w:eastAsia="Times New Roman"/>
                <w:sz w:val="22"/>
                <w:vertAlign w:val="superscript"/>
                <w:lang w:eastAsia="lv-LV"/>
              </w:rPr>
              <w:t>1</w:t>
            </w:r>
            <w:r w:rsidRPr="0034236F">
              <w:rPr>
                <w:rFonts w:eastAsia="Times New Roman"/>
                <w:sz w:val="22"/>
                <w:lang w:eastAsia="lv-LV"/>
              </w:rPr>
              <w:t xml:space="preserve">) Valsts ieņēmumu dienestam ir tiesības piemērot šā panta pirmās daļas 3.punktā minēto izpildes nodrošinājuma līdzekli, nosakot aizlieguma atzīmes ierakstīšanu komercreģistrā nodokļu maksātāja reorganizācijai, likvidācijai, amatpersonu un daļu īpašnieka maiņai, ja nodokļu maksātājs, par kuru sniegtas ziņas saskaņā ar šā likuma 18.panta pirmās daļas 25.punktu, ir pieteicis </w:t>
            </w:r>
            <w:r w:rsidRPr="0034236F">
              <w:rPr>
                <w:rFonts w:eastAsia="Times New Roman"/>
                <w:sz w:val="22"/>
                <w:lang w:eastAsia="lv-LV"/>
              </w:rPr>
              <w:lastRenderedPageBreak/>
              <w:t>izmaiņu ierakstīšanu Uzņēmumu reģistra vestajos reģistros un Valsts ieņēmumu dienests ir konstatējis kādu no šādiem apstākļiem:</w:t>
            </w:r>
          </w:p>
          <w:p w:rsidR="0023009E" w:rsidRPr="0034236F" w:rsidRDefault="0023009E" w:rsidP="0034236F">
            <w:pPr>
              <w:ind w:firstLine="567"/>
              <w:jc w:val="both"/>
              <w:rPr>
                <w:rFonts w:eastAsia="Times New Roman"/>
                <w:sz w:val="22"/>
                <w:lang w:eastAsia="lv-LV"/>
              </w:rPr>
            </w:pPr>
            <w:r w:rsidRPr="0034236F">
              <w:rPr>
                <w:rFonts w:eastAsia="Times New Roman"/>
                <w:sz w:val="22"/>
                <w:lang w:eastAsia="lv-LV"/>
              </w:rPr>
              <w:t>1) nodokļu maksātāja adrese atbilst riska adresei;</w:t>
            </w:r>
          </w:p>
          <w:p w:rsidR="0023009E" w:rsidRPr="0034236F" w:rsidRDefault="0023009E" w:rsidP="0034236F">
            <w:pPr>
              <w:ind w:firstLine="567"/>
              <w:jc w:val="both"/>
              <w:rPr>
                <w:rFonts w:eastAsia="Times New Roman"/>
                <w:sz w:val="22"/>
                <w:lang w:eastAsia="lv-LV"/>
              </w:rPr>
            </w:pPr>
            <w:r w:rsidRPr="0034236F">
              <w:rPr>
                <w:rFonts w:eastAsia="Times New Roman"/>
                <w:sz w:val="22"/>
                <w:lang w:eastAsia="lv-LV"/>
              </w:rPr>
              <w:t>2) komercreģistrā kā nodokļu maksātāja vienīgais dalībnieks vai vienīgā amatpersona ir norādīta riska persona;</w:t>
            </w:r>
          </w:p>
          <w:p w:rsidR="0023009E" w:rsidRPr="0034236F" w:rsidRDefault="0023009E" w:rsidP="0034236F">
            <w:pPr>
              <w:ind w:firstLine="567"/>
              <w:jc w:val="both"/>
              <w:rPr>
                <w:rFonts w:eastAsia="Times New Roman"/>
                <w:sz w:val="22"/>
                <w:lang w:eastAsia="lv-LV"/>
              </w:rPr>
            </w:pPr>
            <w:r w:rsidRPr="0034236F">
              <w:rPr>
                <w:rFonts w:eastAsia="Times New Roman"/>
                <w:sz w:val="22"/>
                <w:lang w:eastAsia="lv-LV"/>
              </w:rPr>
              <w:t>3) nodokļu revīziju (auditu) uzsāk, lai izvērtētu nodokļa pārmaksas atmaksas pamatotību;</w:t>
            </w:r>
          </w:p>
          <w:p w:rsidR="0023009E" w:rsidRPr="0034236F" w:rsidRDefault="0023009E" w:rsidP="0034236F">
            <w:pPr>
              <w:ind w:firstLine="567"/>
              <w:jc w:val="both"/>
              <w:rPr>
                <w:rFonts w:eastAsia="Times New Roman"/>
                <w:sz w:val="22"/>
                <w:lang w:eastAsia="lv-LV"/>
              </w:rPr>
            </w:pPr>
            <w:r w:rsidRPr="0034236F">
              <w:rPr>
                <w:rFonts w:eastAsia="Times New Roman"/>
                <w:sz w:val="22"/>
                <w:lang w:eastAsia="lv-LV"/>
              </w:rPr>
              <w:t>4) nodokļu administrācija, sagatavojot personas datu izvērtējumu nodokļu ieņēmumu risku jomā, ir konstatējusi faktus, kas liecina par apliekamā objekta slēpšanu vai izvairīšanos no nodokļu maksāšanas.</w:t>
            </w:r>
          </w:p>
        </w:tc>
        <w:tc>
          <w:tcPr>
            <w:tcW w:w="3827" w:type="dxa"/>
            <w:shd w:val="clear" w:color="auto" w:fill="auto"/>
          </w:tcPr>
          <w:p w:rsidR="0023009E" w:rsidRPr="00271EF7" w:rsidRDefault="0023009E" w:rsidP="00271EF7">
            <w:pPr>
              <w:pStyle w:val="ListParagraph"/>
              <w:widowControl w:val="0"/>
              <w:spacing w:before="0" w:beforeAutospacing="0" w:after="0" w:afterAutospacing="0"/>
              <w:ind w:firstLine="567"/>
              <w:contextualSpacing/>
              <w:jc w:val="both"/>
              <w:rPr>
                <w:color w:val="000000" w:themeColor="text1"/>
                <w:sz w:val="22"/>
                <w:szCs w:val="22"/>
              </w:rPr>
            </w:pPr>
            <w:r w:rsidRPr="00271EF7">
              <w:rPr>
                <w:sz w:val="22"/>
                <w:szCs w:val="22"/>
              </w:rPr>
              <w:lastRenderedPageBreak/>
              <w:t>aizstāt 3.</w:t>
            </w:r>
            <w:r w:rsidRPr="00271EF7">
              <w:rPr>
                <w:sz w:val="22"/>
                <w:szCs w:val="22"/>
                <w:vertAlign w:val="superscript"/>
              </w:rPr>
              <w:t>1 </w:t>
            </w:r>
            <w:r w:rsidRPr="00271EF7">
              <w:rPr>
                <w:sz w:val="22"/>
                <w:szCs w:val="22"/>
              </w:rPr>
              <w:t>daļā vārdus un skaitli "pirmās daļas 3. punktā minēto izpildes nodrošinājuma līdzekli, nosakot" ar vārdiem "pirmajā daļā minētos izpildes nodrošinājuma līdzekļus, tajā skaitā nosakot";</w:t>
            </w:r>
          </w:p>
        </w:tc>
        <w:tc>
          <w:tcPr>
            <w:tcW w:w="1418" w:type="dxa"/>
          </w:tcPr>
          <w:p w:rsidR="0023009E" w:rsidRPr="00496988" w:rsidRDefault="0023009E" w:rsidP="00EF0E8C">
            <w:pPr>
              <w:jc w:val="center"/>
              <w:rPr>
                <w:rFonts w:eastAsia="Times New Roman"/>
                <w:color w:val="000000" w:themeColor="text1"/>
                <w:sz w:val="22"/>
                <w:lang w:eastAsia="lv-LV"/>
              </w:rPr>
            </w:pPr>
          </w:p>
        </w:tc>
        <w:tc>
          <w:tcPr>
            <w:tcW w:w="3827" w:type="dxa"/>
          </w:tcPr>
          <w:p w:rsidR="0023009E" w:rsidRPr="00496988" w:rsidRDefault="0023009E" w:rsidP="00EF0E8C">
            <w:pPr>
              <w:ind w:firstLine="567"/>
              <w:jc w:val="both"/>
              <w:rPr>
                <w:rFonts w:eastAsia="Times New Roman"/>
                <w:color w:val="000000" w:themeColor="text1"/>
                <w:sz w:val="22"/>
                <w:lang w:eastAsia="lv-LV"/>
              </w:rPr>
            </w:pPr>
          </w:p>
        </w:tc>
        <w:tc>
          <w:tcPr>
            <w:tcW w:w="1559" w:type="dxa"/>
          </w:tcPr>
          <w:p w:rsidR="0023009E" w:rsidRPr="00496988" w:rsidRDefault="0023009E" w:rsidP="00EF0E8C">
            <w:pPr>
              <w:ind w:firstLine="567"/>
              <w:jc w:val="both"/>
              <w:rPr>
                <w:rFonts w:eastAsia="Times New Roman"/>
                <w:color w:val="000000" w:themeColor="text1"/>
                <w:sz w:val="22"/>
                <w:lang w:eastAsia="lv-LV"/>
              </w:rPr>
            </w:pPr>
          </w:p>
        </w:tc>
        <w:tc>
          <w:tcPr>
            <w:tcW w:w="1134" w:type="dxa"/>
          </w:tcPr>
          <w:p w:rsidR="0023009E" w:rsidRPr="00496988" w:rsidRDefault="0023009E" w:rsidP="00EF0E8C">
            <w:pPr>
              <w:ind w:firstLine="567"/>
              <w:jc w:val="both"/>
              <w:rPr>
                <w:rFonts w:eastAsia="Times New Roman"/>
                <w:color w:val="000000" w:themeColor="text1"/>
                <w:sz w:val="22"/>
                <w:lang w:eastAsia="lv-LV"/>
              </w:rPr>
            </w:pPr>
          </w:p>
        </w:tc>
      </w:tr>
      <w:tr w:rsidR="0023009E" w:rsidRPr="00496988" w:rsidTr="00EB7EDD">
        <w:tc>
          <w:tcPr>
            <w:tcW w:w="3403" w:type="dxa"/>
            <w:shd w:val="clear" w:color="auto" w:fill="auto"/>
          </w:tcPr>
          <w:p w:rsidR="0023009E" w:rsidRPr="00496988" w:rsidRDefault="0023009E" w:rsidP="00EF0E8C">
            <w:pPr>
              <w:ind w:firstLine="567"/>
              <w:jc w:val="both"/>
              <w:rPr>
                <w:color w:val="000000" w:themeColor="text1"/>
                <w:sz w:val="22"/>
              </w:rPr>
            </w:pPr>
          </w:p>
        </w:tc>
        <w:tc>
          <w:tcPr>
            <w:tcW w:w="3827" w:type="dxa"/>
            <w:shd w:val="clear" w:color="auto" w:fill="auto"/>
          </w:tcPr>
          <w:p w:rsidR="0023009E" w:rsidRPr="00271EF7" w:rsidRDefault="0023009E" w:rsidP="00271EF7">
            <w:pPr>
              <w:ind w:firstLine="567"/>
              <w:jc w:val="both"/>
              <w:rPr>
                <w:rFonts w:eastAsia="Times New Roman"/>
                <w:sz w:val="22"/>
                <w:lang w:eastAsia="lv-LV"/>
              </w:rPr>
            </w:pPr>
            <w:r w:rsidRPr="00271EF7">
              <w:rPr>
                <w:rFonts w:eastAsia="Times New Roman"/>
                <w:sz w:val="22"/>
                <w:lang w:eastAsia="lv-LV"/>
              </w:rPr>
              <w:t>papildināt pantu ar 3.</w:t>
            </w:r>
            <w:r w:rsidRPr="00271EF7">
              <w:rPr>
                <w:rFonts w:eastAsia="Times New Roman"/>
                <w:sz w:val="22"/>
                <w:vertAlign w:val="superscript"/>
                <w:lang w:eastAsia="lv-LV"/>
              </w:rPr>
              <w:t>3</w:t>
            </w:r>
            <w:r w:rsidRPr="00271EF7">
              <w:rPr>
                <w:rFonts w:eastAsia="Times New Roman"/>
                <w:sz w:val="22"/>
                <w:lang w:eastAsia="lv-LV"/>
              </w:rPr>
              <w:t xml:space="preserve"> un 3.</w:t>
            </w:r>
            <w:r w:rsidRPr="00271EF7">
              <w:rPr>
                <w:rFonts w:eastAsia="Times New Roman"/>
                <w:sz w:val="22"/>
                <w:vertAlign w:val="superscript"/>
                <w:lang w:eastAsia="lv-LV"/>
              </w:rPr>
              <w:t>4 </w:t>
            </w:r>
            <w:r w:rsidRPr="00271EF7">
              <w:rPr>
                <w:rFonts w:eastAsia="Times New Roman"/>
                <w:sz w:val="22"/>
                <w:lang w:eastAsia="lv-LV"/>
              </w:rPr>
              <w:t>daļu šādā redakcijā:</w:t>
            </w:r>
          </w:p>
          <w:p w:rsidR="0023009E" w:rsidRPr="00271EF7" w:rsidRDefault="0023009E" w:rsidP="00271EF7">
            <w:pPr>
              <w:ind w:firstLine="567"/>
              <w:jc w:val="both"/>
              <w:rPr>
                <w:rFonts w:eastAsia="Times New Roman"/>
                <w:sz w:val="22"/>
                <w:lang w:eastAsia="lv-LV"/>
              </w:rPr>
            </w:pPr>
            <w:r w:rsidRPr="00271EF7">
              <w:rPr>
                <w:rFonts w:eastAsia="Times New Roman"/>
                <w:sz w:val="22"/>
                <w:lang w:eastAsia="lv-LV"/>
              </w:rPr>
              <w:t> "(3</w:t>
            </w:r>
            <w:r w:rsidRPr="00271EF7">
              <w:rPr>
                <w:rFonts w:eastAsia="Times New Roman"/>
                <w:sz w:val="22"/>
                <w:vertAlign w:val="superscript"/>
                <w:lang w:eastAsia="lv-LV"/>
              </w:rPr>
              <w:t>3</w:t>
            </w:r>
            <w:r w:rsidRPr="00271EF7">
              <w:rPr>
                <w:rFonts w:eastAsia="Times New Roman"/>
                <w:sz w:val="22"/>
                <w:lang w:eastAsia="lv-LV"/>
              </w:rPr>
              <w:t>) Ja nodokļu administrācija, sagatavojot personas datu izvērtējumu nodokļu ieņēmumu risku jomā, ir konstatējusi faktus, kas liecina par apliekamā objekta slēpšanu vai izvairīšanos no nodokļu maksāšanas, nodokļu administrācijai ir tiesības piemērot šā panta pirmajā daļā minētos izpildes nodrošinājuma līdzekļus vienlaikus ar:</w:t>
            </w:r>
          </w:p>
          <w:p w:rsidR="0023009E" w:rsidRPr="00271EF7" w:rsidRDefault="0023009E" w:rsidP="00271EF7">
            <w:pPr>
              <w:ind w:firstLine="567"/>
              <w:jc w:val="both"/>
              <w:rPr>
                <w:rFonts w:eastAsia="Times New Roman"/>
                <w:sz w:val="22"/>
                <w:lang w:eastAsia="lv-LV"/>
              </w:rPr>
            </w:pPr>
            <w:r w:rsidRPr="00271EF7">
              <w:rPr>
                <w:rFonts w:eastAsia="Times New Roman"/>
                <w:sz w:val="22"/>
                <w:lang w:eastAsia="lv-LV"/>
              </w:rPr>
              <w:t>1) lēmuma pieņemšanu par nodokļu revīzijas (audita) veikšanu;</w:t>
            </w:r>
          </w:p>
          <w:p w:rsidR="0023009E" w:rsidRPr="00271EF7" w:rsidRDefault="0023009E" w:rsidP="00271EF7">
            <w:pPr>
              <w:ind w:firstLine="567"/>
              <w:jc w:val="both"/>
              <w:rPr>
                <w:rFonts w:eastAsia="Times New Roman"/>
                <w:sz w:val="22"/>
                <w:lang w:eastAsia="lv-LV"/>
              </w:rPr>
            </w:pPr>
            <w:r w:rsidRPr="00271EF7">
              <w:rPr>
                <w:rFonts w:eastAsia="Times New Roman"/>
                <w:sz w:val="22"/>
                <w:lang w:eastAsia="lv-LV"/>
              </w:rPr>
              <w:t xml:space="preserve">2) paziņojuma nosūtīšanu par datu atbilstības pārbaudes laikā konstatētajām konkrētajām neatbilstībām starp nodokļu </w:t>
            </w:r>
            <w:r w:rsidRPr="00271EF7">
              <w:rPr>
                <w:rFonts w:eastAsia="Times New Roman"/>
                <w:sz w:val="22"/>
                <w:lang w:eastAsia="lv-LV"/>
              </w:rPr>
              <w:lastRenderedPageBreak/>
              <w:t>maksātāja iesniegto informāciju un nodokļu administrācijas rīcībā esošo informāciju;</w:t>
            </w:r>
          </w:p>
          <w:p w:rsidR="0023009E" w:rsidRPr="00271EF7" w:rsidRDefault="0023009E" w:rsidP="00271EF7">
            <w:pPr>
              <w:ind w:firstLine="567"/>
              <w:jc w:val="both"/>
              <w:rPr>
                <w:rFonts w:eastAsia="Times New Roman"/>
                <w:sz w:val="22"/>
                <w:lang w:eastAsia="lv-LV"/>
              </w:rPr>
            </w:pPr>
            <w:r w:rsidRPr="00271EF7">
              <w:rPr>
                <w:rFonts w:eastAsia="Times New Roman"/>
                <w:sz w:val="22"/>
                <w:lang w:eastAsia="lv-LV"/>
              </w:rPr>
              <w:t>3) tematiskās pārbaudes akta noformēšanu, ja tematiskās pārbaudes laikā konstatēti būtiski pārkāpumi, kas liecina par izvairīšanos no nodokļu nomaksas.</w:t>
            </w:r>
          </w:p>
          <w:p w:rsidR="0023009E" w:rsidRPr="00271EF7" w:rsidRDefault="0023009E" w:rsidP="00271EF7">
            <w:pPr>
              <w:ind w:firstLine="567"/>
              <w:jc w:val="both"/>
              <w:rPr>
                <w:rFonts w:eastAsia="Times New Roman"/>
                <w:sz w:val="22"/>
                <w:lang w:eastAsia="lv-LV"/>
              </w:rPr>
            </w:pPr>
            <w:r w:rsidRPr="00271EF7">
              <w:rPr>
                <w:rFonts w:eastAsia="Times New Roman"/>
                <w:sz w:val="22"/>
                <w:lang w:eastAsia="lv-LV"/>
              </w:rPr>
              <w:t>(3</w:t>
            </w:r>
            <w:r w:rsidRPr="00271EF7">
              <w:rPr>
                <w:rFonts w:eastAsia="Times New Roman"/>
                <w:sz w:val="22"/>
                <w:vertAlign w:val="superscript"/>
                <w:lang w:eastAsia="lv-LV"/>
              </w:rPr>
              <w:t>4</w:t>
            </w:r>
            <w:r w:rsidRPr="00271EF7">
              <w:rPr>
                <w:rFonts w:eastAsia="Times New Roman"/>
                <w:sz w:val="22"/>
                <w:lang w:eastAsia="lv-LV"/>
              </w:rPr>
              <w:t>) Piemērojot izpildes nodrošinājuma līdzekļus saskaņā ar šā panta 3.</w:t>
            </w:r>
            <w:r w:rsidRPr="00271EF7">
              <w:rPr>
                <w:rFonts w:eastAsia="Times New Roman"/>
                <w:sz w:val="22"/>
                <w:vertAlign w:val="superscript"/>
                <w:lang w:eastAsia="lv-LV"/>
              </w:rPr>
              <w:t>3</w:t>
            </w:r>
            <w:r w:rsidRPr="00271EF7">
              <w:rPr>
                <w:rFonts w:eastAsia="Times New Roman"/>
                <w:sz w:val="22"/>
                <w:lang w:eastAsia="lv-LV"/>
              </w:rPr>
              <w:t xml:space="preserve"> daļu, izpildes nodrošinājuma līdzekļus piemēro tādā apmērā, kas nepārsniedz personas datu izvērtējumā nodokļu ieņēmumu risku jomā norādīto budžetā nesamaksāto nodokļu un nodevu apmēru." </w:t>
            </w:r>
          </w:p>
        </w:tc>
        <w:tc>
          <w:tcPr>
            <w:tcW w:w="1418" w:type="dxa"/>
          </w:tcPr>
          <w:p w:rsidR="0023009E" w:rsidRPr="00496988" w:rsidRDefault="0023009E" w:rsidP="00EF0E8C">
            <w:pPr>
              <w:jc w:val="center"/>
              <w:rPr>
                <w:rFonts w:eastAsia="Times New Roman"/>
                <w:color w:val="000000" w:themeColor="text1"/>
                <w:sz w:val="22"/>
                <w:lang w:eastAsia="lv-LV"/>
              </w:rPr>
            </w:pPr>
          </w:p>
        </w:tc>
        <w:tc>
          <w:tcPr>
            <w:tcW w:w="3827" w:type="dxa"/>
          </w:tcPr>
          <w:p w:rsidR="0023009E" w:rsidRPr="00496988" w:rsidRDefault="0023009E" w:rsidP="00EF0E8C">
            <w:pPr>
              <w:ind w:firstLine="567"/>
              <w:jc w:val="both"/>
              <w:rPr>
                <w:rFonts w:eastAsia="Times New Roman"/>
                <w:color w:val="000000" w:themeColor="text1"/>
                <w:sz w:val="22"/>
                <w:lang w:eastAsia="lv-LV"/>
              </w:rPr>
            </w:pPr>
          </w:p>
        </w:tc>
        <w:tc>
          <w:tcPr>
            <w:tcW w:w="1559" w:type="dxa"/>
          </w:tcPr>
          <w:p w:rsidR="0023009E" w:rsidRPr="00496988" w:rsidRDefault="0023009E" w:rsidP="00EF0E8C">
            <w:pPr>
              <w:ind w:firstLine="567"/>
              <w:jc w:val="both"/>
              <w:rPr>
                <w:rFonts w:eastAsia="Times New Roman"/>
                <w:color w:val="000000" w:themeColor="text1"/>
                <w:sz w:val="22"/>
                <w:lang w:eastAsia="lv-LV"/>
              </w:rPr>
            </w:pPr>
          </w:p>
        </w:tc>
        <w:tc>
          <w:tcPr>
            <w:tcW w:w="1134" w:type="dxa"/>
          </w:tcPr>
          <w:p w:rsidR="0023009E" w:rsidRPr="00496988" w:rsidRDefault="0023009E" w:rsidP="00EF0E8C">
            <w:pPr>
              <w:ind w:firstLine="567"/>
              <w:jc w:val="both"/>
              <w:rPr>
                <w:rFonts w:eastAsia="Times New Roman"/>
                <w:color w:val="000000" w:themeColor="text1"/>
                <w:sz w:val="22"/>
                <w:lang w:eastAsia="lv-LV"/>
              </w:rPr>
            </w:pPr>
          </w:p>
        </w:tc>
      </w:tr>
      <w:tr w:rsidR="0023009E" w:rsidRPr="00496988" w:rsidTr="00EB7EDD">
        <w:tc>
          <w:tcPr>
            <w:tcW w:w="3403" w:type="dxa"/>
            <w:shd w:val="clear" w:color="auto" w:fill="auto"/>
          </w:tcPr>
          <w:p w:rsidR="0023009E" w:rsidRPr="0034236F" w:rsidRDefault="0023009E" w:rsidP="0034236F">
            <w:pPr>
              <w:ind w:firstLine="567"/>
              <w:jc w:val="both"/>
              <w:rPr>
                <w:b/>
                <w:bCs/>
                <w:sz w:val="22"/>
              </w:rPr>
            </w:pPr>
            <w:r w:rsidRPr="0034236F">
              <w:rPr>
                <w:b/>
                <w:bCs/>
                <w:sz w:val="22"/>
              </w:rPr>
              <w:lastRenderedPageBreak/>
              <w:t>34.</w:t>
            </w:r>
            <w:r w:rsidRPr="0034236F">
              <w:rPr>
                <w:b/>
                <w:bCs/>
                <w:sz w:val="22"/>
                <w:vertAlign w:val="superscript"/>
              </w:rPr>
              <w:t>1</w:t>
            </w:r>
            <w:r w:rsidRPr="0034236F">
              <w:rPr>
                <w:b/>
                <w:bCs/>
                <w:sz w:val="22"/>
              </w:rPr>
              <w:t xml:space="preserve"> pants. Saimnieciskās darbības apturēšana normatīvo aktu pārkāpumu gadījumos</w:t>
            </w:r>
          </w:p>
          <w:p w:rsidR="0023009E" w:rsidRPr="0034236F" w:rsidRDefault="0023009E" w:rsidP="0034236F">
            <w:pPr>
              <w:ind w:firstLine="567"/>
              <w:jc w:val="both"/>
              <w:rPr>
                <w:rFonts w:eastAsia="Times New Roman"/>
                <w:sz w:val="22"/>
                <w:lang w:eastAsia="lv-LV"/>
              </w:rPr>
            </w:pPr>
            <w:r w:rsidRPr="0034236F">
              <w:rPr>
                <w:rFonts w:eastAsia="Times New Roman"/>
                <w:sz w:val="22"/>
                <w:lang w:eastAsia="lv-LV"/>
              </w:rPr>
              <w:t>(1) Valsts ieņēmumu dienestam ir tiesības apturēt nodokļu maksātāja (vai tā struktūrvienības, kurā noticis pārkāpums) saimniecisko darbību, ja ir konstatēts vismaz viens no šādiem pārkāpumiem:</w:t>
            </w:r>
          </w:p>
          <w:p w:rsidR="0023009E" w:rsidRPr="0034236F" w:rsidRDefault="0023009E" w:rsidP="0034236F">
            <w:pPr>
              <w:ind w:firstLine="567"/>
              <w:jc w:val="both"/>
              <w:rPr>
                <w:rFonts w:eastAsia="Times New Roman"/>
                <w:sz w:val="22"/>
                <w:lang w:eastAsia="lv-LV"/>
              </w:rPr>
            </w:pPr>
            <w:r w:rsidRPr="0034236F">
              <w:rPr>
                <w:rFonts w:eastAsia="Times New Roman"/>
                <w:sz w:val="22"/>
                <w:lang w:eastAsia="lv-LV"/>
              </w:rPr>
              <w:t xml:space="preserve">1) nodokļu maksātājs nodarbina personas, ar kurām nav noslēgts rakstveida darba līgums, un šo personu skaits ir 50 procenti vai vairāk, bet ne mazāk kā trīs personas no pārbaudāmajā objektā (nodokļu maksātājam piederošās vai tā lietošanā esošās teritorijas un telpas, kurās tiek veikta saimnieciskā darbība vai kuras ir saistītas ar ieņēmumu gūšanu citai fiziskajai vai </w:t>
            </w:r>
            <w:r w:rsidRPr="0034236F">
              <w:rPr>
                <w:rFonts w:eastAsia="Times New Roman"/>
                <w:sz w:val="22"/>
                <w:lang w:eastAsia="lv-LV"/>
              </w:rPr>
              <w:lastRenderedPageBreak/>
              <w:t>juridiskajai personai piederošā vai lietošanā esošā teritorijā vai telpā) nodarbinātajām personām;</w:t>
            </w:r>
          </w:p>
          <w:p w:rsidR="0023009E" w:rsidRPr="0034236F" w:rsidRDefault="0023009E" w:rsidP="0034236F">
            <w:pPr>
              <w:ind w:firstLine="567"/>
              <w:jc w:val="both"/>
              <w:rPr>
                <w:rFonts w:eastAsia="Times New Roman"/>
                <w:sz w:val="22"/>
                <w:lang w:eastAsia="lv-LV"/>
              </w:rPr>
            </w:pPr>
            <w:r w:rsidRPr="0034236F">
              <w:rPr>
                <w:rFonts w:eastAsia="Times New Roman"/>
                <w:sz w:val="22"/>
                <w:lang w:eastAsia="lv-LV"/>
              </w:rPr>
              <w:t>2) nodokļu maksātājs ir izvairījies no nodokļu vai nodevu maksāšanas;</w:t>
            </w:r>
          </w:p>
          <w:p w:rsidR="0023009E" w:rsidRPr="0034236F" w:rsidRDefault="0023009E" w:rsidP="0034236F">
            <w:pPr>
              <w:ind w:firstLine="567"/>
              <w:jc w:val="both"/>
              <w:rPr>
                <w:rFonts w:eastAsia="Times New Roman"/>
                <w:sz w:val="22"/>
                <w:lang w:eastAsia="lv-LV"/>
              </w:rPr>
            </w:pPr>
            <w:r w:rsidRPr="0034236F">
              <w:rPr>
                <w:rFonts w:eastAsia="Times New Roman"/>
                <w:sz w:val="22"/>
                <w:lang w:eastAsia="lv-LV"/>
              </w:rPr>
              <w:t>3) nodokļu maksātājs lieto kases aparātu, hibrīda kases aparātu, kases sistēmu, specializēto ierīču un iekārtu datorprogrammu vai grāmatvedības informācijas datorsistēmu, kurai ir mainīta programmatūra vai veiktas citas darbības, ar kurām radīta iespēja slēpt vai samazināt ar nodokļiem un nodevām apliekamo objektu;</w:t>
            </w:r>
          </w:p>
          <w:p w:rsidR="0023009E" w:rsidRPr="0034236F" w:rsidRDefault="0023009E" w:rsidP="0034236F">
            <w:pPr>
              <w:ind w:firstLine="567"/>
              <w:jc w:val="both"/>
              <w:rPr>
                <w:rFonts w:eastAsia="Times New Roman"/>
                <w:sz w:val="22"/>
                <w:lang w:eastAsia="lv-LV"/>
              </w:rPr>
            </w:pPr>
            <w:r w:rsidRPr="0034236F">
              <w:rPr>
                <w:rFonts w:eastAsia="Times New Roman"/>
                <w:sz w:val="22"/>
                <w:lang w:eastAsia="lv-LV"/>
              </w:rPr>
              <w:t>4) nodokļu maksātājs nodarbinātajai personai izmaksā ienākumus, kuri nav uzrādīti grāmatvedības uzskaitē un Valsts ieņēmumu dienestam iesniegtajā ziņojumā par valsts sociālās apdrošināšanas obligātajām iemaksām no darba ņēmēju ienākumiem, par iedzīvotāju ienākuma nodokli un uzņēmējdarbības riska valsts nodevu pārskata mēnesī, vai nodarbina vairāk nekā vienu personu, ar kuru nav noslēdzis rakstveida darba līgumu;</w:t>
            </w:r>
          </w:p>
          <w:p w:rsidR="0023009E" w:rsidRPr="0034236F" w:rsidRDefault="0023009E" w:rsidP="0034236F">
            <w:pPr>
              <w:ind w:firstLine="567"/>
              <w:jc w:val="both"/>
              <w:rPr>
                <w:rFonts w:eastAsia="Times New Roman"/>
                <w:sz w:val="22"/>
                <w:lang w:eastAsia="lv-LV"/>
              </w:rPr>
            </w:pPr>
            <w:r w:rsidRPr="0034236F">
              <w:rPr>
                <w:rFonts w:eastAsia="Times New Roman"/>
                <w:sz w:val="22"/>
                <w:lang w:eastAsia="lv-LV"/>
              </w:rPr>
              <w:t>5) nodokļu maksātājs nav novērsis pārkāpumus, kas bija par pamatu tā izslēgšanai no Valsts ieņēmumu dienesta pievienotās vērtības nodokļa maksātāju reģistra;</w:t>
            </w:r>
          </w:p>
          <w:p w:rsidR="0023009E" w:rsidRPr="0034236F" w:rsidRDefault="0023009E" w:rsidP="0034236F">
            <w:pPr>
              <w:ind w:firstLine="567"/>
              <w:jc w:val="both"/>
              <w:rPr>
                <w:rFonts w:eastAsia="Times New Roman"/>
                <w:sz w:val="22"/>
                <w:lang w:eastAsia="lv-LV"/>
              </w:rPr>
            </w:pPr>
            <w:r w:rsidRPr="0034236F">
              <w:rPr>
                <w:rFonts w:eastAsia="Times New Roman"/>
                <w:sz w:val="22"/>
                <w:lang w:eastAsia="lv-LV"/>
              </w:rPr>
              <w:t xml:space="preserve">6) nodokļu maksātājs normatīvajos aktos noteiktajā </w:t>
            </w:r>
            <w:r w:rsidRPr="0034236F">
              <w:rPr>
                <w:rFonts w:eastAsia="Times New Roman"/>
                <w:sz w:val="22"/>
                <w:lang w:eastAsia="lv-LV"/>
              </w:rPr>
              <w:lastRenderedPageBreak/>
              <w:t>termiņā nav iesniedzis šā likuma 26.</w:t>
            </w:r>
            <w:r w:rsidRPr="0034236F">
              <w:rPr>
                <w:rFonts w:eastAsia="Times New Roman"/>
                <w:sz w:val="22"/>
                <w:vertAlign w:val="superscript"/>
                <w:lang w:eastAsia="lv-LV"/>
              </w:rPr>
              <w:t>2</w:t>
            </w:r>
            <w:r w:rsidRPr="0034236F">
              <w:rPr>
                <w:rFonts w:eastAsia="Times New Roman"/>
                <w:sz w:val="22"/>
                <w:lang w:eastAsia="lv-LV"/>
              </w:rPr>
              <w:t xml:space="preserve"> panta pirmajā daļā minēto nodrošinājumu.</w:t>
            </w:r>
          </w:p>
        </w:tc>
        <w:tc>
          <w:tcPr>
            <w:tcW w:w="3827" w:type="dxa"/>
            <w:shd w:val="clear" w:color="auto" w:fill="auto"/>
          </w:tcPr>
          <w:p w:rsidR="0023009E" w:rsidRPr="00271EF7" w:rsidRDefault="0023009E" w:rsidP="00271EF7">
            <w:pPr>
              <w:ind w:firstLine="567"/>
              <w:jc w:val="both"/>
              <w:rPr>
                <w:rFonts w:eastAsia="Times New Roman"/>
                <w:sz w:val="22"/>
                <w:lang w:eastAsia="lv-LV"/>
              </w:rPr>
            </w:pPr>
            <w:r w:rsidRPr="00271EF7">
              <w:rPr>
                <w:rFonts w:eastAsia="Times New Roman"/>
                <w:sz w:val="22"/>
                <w:lang w:eastAsia="lv-LV"/>
              </w:rPr>
              <w:lastRenderedPageBreak/>
              <w:t>6.  Papildināt 34.</w:t>
            </w:r>
            <w:r w:rsidRPr="00271EF7">
              <w:rPr>
                <w:rFonts w:eastAsia="Times New Roman"/>
                <w:sz w:val="22"/>
                <w:vertAlign w:val="superscript"/>
                <w:lang w:eastAsia="lv-LV"/>
              </w:rPr>
              <w:t>1</w:t>
            </w:r>
            <w:r w:rsidRPr="00271EF7">
              <w:rPr>
                <w:rFonts w:eastAsia="Times New Roman"/>
                <w:sz w:val="22"/>
                <w:lang w:eastAsia="lv-LV"/>
              </w:rPr>
              <w:t> panta pirmo daļu ar 7. punktu šādā redakcijā:</w:t>
            </w:r>
          </w:p>
          <w:p w:rsidR="0023009E" w:rsidRPr="00271EF7" w:rsidRDefault="0023009E" w:rsidP="00271EF7">
            <w:pPr>
              <w:ind w:firstLine="567"/>
              <w:jc w:val="both"/>
              <w:rPr>
                <w:rFonts w:eastAsia="Times New Roman"/>
                <w:sz w:val="22"/>
                <w:lang w:eastAsia="lv-LV"/>
              </w:rPr>
            </w:pPr>
            <w:r w:rsidRPr="00271EF7">
              <w:rPr>
                <w:rFonts w:eastAsia="Times New Roman"/>
                <w:sz w:val="22"/>
                <w:lang w:eastAsia="lv-LV"/>
              </w:rPr>
              <w:t xml:space="preserve"> "7)  nodokļu maksātājs nav samaksājis nokavētos nodokļu maksājumus, kas tiek piedzīti ar lēmumu par nokavēto nodokļu maksājumu piedziņu, un Valsts ieņēmumu dienesta rīcībā ir </w:t>
            </w:r>
            <w:r w:rsidRPr="002E259F">
              <w:rPr>
                <w:rFonts w:eastAsia="Times New Roman"/>
                <w:sz w:val="22"/>
                <w:u w:val="single"/>
                <w:lang w:eastAsia="lv-LV"/>
              </w:rPr>
              <w:t>tiesiski</w:t>
            </w:r>
            <w:r w:rsidRPr="00271EF7">
              <w:rPr>
                <w:rFonts w:eastAsia="Times New Roman"/>
                <w:sz w:val="22"/>
                <w:lang w:eastAsia="lv-LV"/>
              </w:rPr>
              <w:t xml:space="preserve"> apstiprināts akts par piedziņas neiespējamību."</w:t>
            </w:r>
          </w:p>
        </w:tc>
        <w:tc>
          <w:tcPr>
            <w:tcW w:w="1418" w:type="dxa"/>
          </w:tcPr>
          <w:p w:rsidR="0023009E" w:rsidRPr="00A575BA" w:rsidRDefault="0023009E" w:rsidP="00EF0E8C">
            <w:pPr>
              <w:jc w:val="center"/>
              <w:rPr>
                <w:rFonts w:eastAsia="Times New Roman"/>
                <w:b/>
                <w:color w:val="000000" w:themeColor="text1"/>
                <w:sz w:val="22"/>
                <w:lang w:eastAsia="lv-LV"/>
              </w:rPr>
            </w:pPr>
            <w:r w:rsidRPr="00A575BA">
              <w:rPr>
                <w:rFonts w:eastAsia="Times New Roman"/>
                <w:b/>
                <w:color w:val="000000" w:themeColor="text1"/>
                <w:sz w:val="22"/>
                <w:lang w:eastAsia="lv-LV"/>
              </w:rPr>
              <w:t>13</w:t>
            </w:r>
          </w:p>
        </w:tc>
        <w:tc>
          <w:tcPr>
            <w:tcW w:w="3827" w:type="dxa"/>
          </w:tcPr>
          <w:p w:rsidR="0023009E" w:rsidRDefault="0023009E" w:rsidP="002E259F">
            <w:pPr>
              <w:tabs>
                <w:tab w:val="left" w:pos="1276"/>
              </w:tabs>
              <w:ind w:firstLine="567"/>
              <w:jc w:val="both"/>
              <w:rPr>
                <w:sz w:val="22"/>
              </w:rPr>
            </w:pPr>
            <w:r w:rsidRPr="002E259F">
              <w:rPr>
                <w:b/>
                <w:sz w:val="22"/>
                <w:u w:val="single"/>
              </w:rPr>
              <w:t>Finanšu ministre D.Reizniece–Ozola</w:t>
            </w:r>
          </w:p>
          <w:p w:rsidR="0023009E" w:rsidRPr="00496988" w:rsidRDefault="0023009E" w:rsidP="00EF0E8C">
            <w:pPr>
              <w:ind w:firstLine="567"/>
              <w:jc w:val="both"/>
              <w:rPr>
                <w:rFonts w:eastAsia="Times New Roman"/>
                <w:color w:val="000000" w:themeColor="text1"/>
                <w:sz w:val="22"/>
                <w:lang w:eastAsia="lv-LV"/>
              </w:rPr>
            </w:pPr>
            <w:r w:rsidRPr="00F01380">
              <w:rPr>
                <w:sz w:val="22"/>
              </w:rPr>
              <w:t>Likumprojekta 6. pantā svītrot vārdu "tiesiski".</w:t>
            </w:r>
          </w:p>
        </w:tc>
        <w:tc>
          <w:tcPr>
            <w:tcW w:w="1559" w:type="dxa"/>
          </w:tcPr>
          <w:p w:rsidR="0023009E" w:rsidRPr="00496988" w:rsidRDefault="0023009E" w:rsidP="0023009E">
            <w:pPr>
              <w:jc w:val="both"/>
              <w:rPr>
                <w:rFonts w:eastAsia="Times New Roman"/>
                <w:color w:val="000000" w:themeColor="text1"/>
                <w:sz w:val="22"/>
                <w:lang w:eastAsia="lv-LV"/>
              </w:rPr>
            </w:pPr>
            <w:r>
              <w:rPr>
                <w:rFonts w:eastAsia="Times New Roman"/>
                <w:b/>
                <w:color w:val="000000" w:themeColor="text1"/>
                <w:sz w:val="22"/>
                <w:lang w:eastAsia="lv-LV"/>
              </w:rPr>
              <w:t>A</w:t>
            </w:r>
            <w:r w:rsidRPr="0023009E">
              <w:rPr>
                <w:rFonts w:eastAsia="Times New Roman"/>
                <w:b/>
                <w:color w:val="000000" w:themeColor="text1"/>
                <w:sz w:val="22"/>
                <w:lang w:eastAsia="lv-LV"/>
              </w:rPr>
              <w:t>tbalstīt</w:t>
            </w:r>
          </w:p>
        </w:tc>
        <w:tc>
          <w:tcPr>
            <w:tcW w:w="1134" w:type="dxa"/>
          </w:tcPr>
          <w:p w:rsidR="0023009E" w:rsidRPr="00496988" w:rsidRDefault="0023009E" w:rsidP="00EF0E8C">
            <w:pPr>
              <w:ind w:firstLine="567"/>
              <w:jc w:val="both"/>
              <w:rPr>
                <w:rFonts w:eastAsia="Times New Roman"/>
                <w:color w:val="000000" w:themeColor="text1"/>
                <w:sz w:val="22"/>
                <w:lang w:eastAsia="lv-LV"/>
              </w:rPr>
            </w:pPr>
          </w:p>
        </w:tc>
      </w:tr>
      <w:tr w:rsidR="0023009E" w:rsidRPr="00496988" w:rsidTr="00EB7EDD">
        <w:tc>
          <w:tcPr>
            <w:tcW w:w="3403" w:type="dxa"/>
            <w:shd w:val="clear" w:color="auto" w:fill="auto"/>
          </w:tcPr>
          <w:p w:rsidR="0023009E" w:rsidRDefault="0023009E" w:rsidP="00EF0E8C">
            <w:pPr>
              <w:ind w:firstLine="567"/>
              <w:jc w:val="both"/>
              <w:rPr>
                <w:b/>
                <w:color w:val="000000" w:themeColor="text1"/>
                <w:sz w:val="22"/>
              </w:rPr>
            </w:pPr>
            <w:r w:rsidRPr="0034236F">
              <w:rPr>
                <w:b/>
                <w:color w:val="000000" w:themeColor="text1"/>
                <w:sz w:val="22"/>
              </w:rPr>
              <w:lastRenderedPageBreak/>
              <w:t>Pārejas noteikumi</w:t>
            </w:r>
          </w:p>
          <w:p w:rsidR="0023009E" w:rsidRPr="0034236F" w:rsidRDefault="0023009E" w:rsidP="0034236F">
            <w:pPr>
              <w:ind w:firstLine="567"/>
              <w:jc w:val="both"/>
              <w:rPr>
                <w:rFonts w:eastAsia="Times New Roman"/>
                <w:sz w:val="22"/>
                <w:lang w:eastAsia="lv-LV"/>
              </w:rPr>
            </w:pPr>
            <w:r w:rsidRPr="0034236F">
              <w:rPr>
                <w:rFonts w:eastAsia="Times New Roman"/>
                <w:sz w:val="22"/>
                <w:lang w:eastAsia="lv-LV"/>
              </w:rPr>
              <w:t>198. Līdz dienai, kad atbilstoši šo pārejas noteikumu 197. punktam sāk piemērot šā likuma 115. panta otro daļu, elektroniskās darba laika uzskaites sistēmā reģistrētie dati par būvlaukumā nodarbinātas personas darba stundām kalendāra mēneša ietvaros var atšķirties no faktiski uzskaitītajām darba stundām, kas izmantotas darba samaksas aprēķināšanai par darbu būvlaukumā, šādā apmērā:</w:t>
            </w:r>
          </w:p>
          <w:p w:rsidR="0023009E" w:rsidRPr="0034236F" w:rsidRDefault="0023009E" w:rsidP="0034236F">
            <w:pPr>
              <w:ind w:firstLine="567"/>
              <w:jc w:val="both"/>
              <w:rPr>
                <w:rFonts w:eastAsia="Times New Roman"/>
                <w:sz w:val="22"/>
                <w:lang w:eastAsia="lv-LV"/>
              </w:rPr>
            </w:pPr>
            <w:r w:rsidRPr="0034236F">
              <w:rPr>
                <w:rFonts w:eastAsia="Times New Roman"/>
                <w:sz w:val="22"/>
                <w:lang w:eastAsia="lv-LV"/>
              </w:rPr>
              <w:t>1) līdz 2018. gada 30. septembrim — par 25 procentiem;</w:t>
            </w:r>
          </w:p>
          <w:p w:rsidR="0023009E" w:rsidRPr="0034236F" w:rsidRDefault="0023009E" w:rsidP="0034236F">
            <w:pPr>
              <w:ind w:firstLine="567"/>
              <w:jc w:val="both"/>
              <w:rPr>
                <w:rFonts w:eastAsia="Times New Roman"/>
                <w:sz w:val="22"/>
                <w:lang w:eastAsia="lv-LV"/>
              </w:rPr>
            </w:pPr>
            <w:r w:rsidRPr="0034236F">
              <w:rPr>
                <w:rFonts w:eastAsia="Times New Roman"/>
                <w:sz w:val="22"/>
                <w:lang w:eastAsia="lv-LV"/>
              </w:rPr>
              <w:t>2) no 2018. gada 1. oktobra līdz 2019. gada 30. septembrim — par 15 procentiem.</w:t>
            </w:r>
          </w:p>
          <w:p w:rsidR="0023009E" w:rsidRPr="0034236F" w:rsidRDefault="0023009E" w:rsidP="0034236F">
            <w:pPr>
              <w:ind w:firstLine="567"/>
              <w:jc w:val="both"/>
              <w:rPr>
                <w:rFonts w:eastAsia="Times New Roman"/>
                <w:i/>
                <w:color w:val="000000" w:themeColor="text1"/>
                <w:sz w:val="20"/>
                <w:szCs w:val="20"/>
                <w:lang w:eastAsia="lv-LV"/>
              </w:rPr>
            </w:pPr>
            <w:r w:rsidRPr="0034236F">
              <w:rPr>
                <w:rFonts w:eastAsia="Times New Roman"/>
                <w:i/>
                <w:color w:val="000000" w:themeColor="text1"/>
                <w:sz w:val="20"/>
                <w:szCs w:val="20"/>
                <w:lang w:eastAsia="lv-LV"/>
              </w:rPr>
              <w:t>(22.06.2017. likuma redakcijā, kas stājas spēkā 01.07.2017.)</w:t>
            </w:r>
          </w:p>
        </w:tc>
        <w:tc>
          <w:tcPr>
            <w:tcW w:w="3827" w:type="dxa"/>
            <w:shd w:val="clear" w:color="auto" w:fill="auto"/>
          </w:tcPr>
          <w:p w:rsidR="0023009E" w:rsidRPr="00271EF7" w:rsidRDefault="0023009E" w:rsidP="00271EF7">
            <w:pPr>
              <w:ind w:firstLine="567"/>
              <w:jc w:val="both"/>
              <w:rPr>
                <w:rFonts w:eastAsia="Times New Roman"/>
                <w:sz w:val="22"/>
                <w:lang w:eastAsia="lv-LV"/>
              </w:rPr>
            </w:pPr>
            <w:r w:rsidRPr="00271EF7">
              <w:rPr>
                <w:rFonts w:eastAsia="Times New Roman"/>
                <w:sz w:val="22"/>
                <w:lang w:eastAsia="lv-LV"/>
              </w:rPr>
              <w:t>7.  Papildināt pārejas noteikumus ar 199. un 200. punktu šādā redakcijā:</w:t>
            </w:r>
          </w:p>
          <w:p w:rsidR="0023009E" w:rsidRPr="00271EF7" w:rsidRDefault="0023009E" w:rsidP="00271EF7">
            <w:pPr>
              <w:ind w:firstLine="567"/>
              <w:jc w:val="both"/>
              <w:rPr>
                <w:rFonts w:eastAsia="Times New Roman"/>
                <w:sz w:val="22"/>
                <w:lang w:eastAsia="lv-LV"/>
              </w:rPr>
            </w:pPr>
            <w:r w:rsidRPr="00271EF7">
              <w:rPr>
                <w:rFonts w:eastAsia="Times New Roman"/>
                <w:sz w:val="22"/>
                <w:lang w:eastAsia="lv-LV"/>
              </w:rPr>
              <w:t> "199. Kredītiestādes un maksājumu pakalpojumu sniedzēji, kas sniedz ar maksājumu kontu saistītus pakalpojumus, līdz 2018. gada 1. jūlijam sniedz Valsts ieņēmumu dienestam informāciju par fizisko personu – Latvijas Republikas rezidentu, kuru konta debeta vai kredīta apgrozījums iepriekšējā gadā pārsniedz 15 000 </w:t>
            </w:r>
            <w:r w:rsidRPr="00271EF7">
              <w:rPr>
                <w:rFonts w:eastAsia="Times New Roman"/>
                <w:i/>
                <w:sz w:val="22"/>
                <w:lang w:eastAsia="lv-LV"/>
              </w:rPr>
              <w:t>euro</w:t>
            </w:r>
            <w:r w:rsidRPr="00271EF7">
              <w:rPr>
                <w:rFonts w:eastAsia="Times New Roman"/>
                <w:sz w:val="22"/>
                <w:lang w:eastAsia="lv-LV"/>
              </w:rPr>
              <w:t>, – bankas kontu atlikumiem uz 2018. gada 1. janvāri.</w:t>
            </w:r>
          </w:p>
          <w:p w:rsidR="0023009E" w:rsidRPr="00271EF7" w:rsidRDefault="0023009E" w:rsidP="00271EF7">
            <w:pPr>
              <w:ind w:firstLine="567"/>
              <w:jc w:val="both"/>
              <w:rPr>
                <w:rFonts w:eastAsia="Times New Roman"/>
                <w:sz w:val="22"/>
                <w:lang w:eastAsia="lv-LV"/>
              </w:rPr>
            </w:pPr>
            <w:r w:rsidRPr="00271EF7">
              <w:rPr>
                <w:rFonts w:eastAsia="Times New Roman"/>
                <w:sz w:val="22"/>
                <w:lang w:eastAsia="lv-LV"/>
              </w:rPr>
              <w:t>200. Ministru kabinets līdz 2018. gada 1. maijam izdod šā likuma 15. panta trešās daļas 10. punktā paredzētos noteikumus."</w:t>
            </w:r>
          </w:p>
        </w:tc>
        <w:tc>
          <w:tcPr>
            <w:tcW w:w="1418" w:type="dxa"/>
          </w:tcPr>
          <w:p w:rsidR="0023009E" w:rsidRPr="00A575BA" w:rsidRDefault="0023009E" w:rsidP="00EF0E8C">
            <w:pPr>
              <w:jc w:val="center"/>
              <w:rPr>
                <w:rFonts w:eastAsia="Times New Roman"/>
                <w:b/>
                <w:color w:val="000000" w:themeColor="text1"/>
                <w:sz w:val="22"/>
                <w:lang w:eastAsia="lv-LV"/>
              </w:rPr>
            </w:pPr>
            <w:r w:rsidRPr="00A575BA">
              <w:rPr>
                <w:rFonts w:eastAsia="Times New Roman"/>
                <w:b/>
                <w:color w:val="000000" w:themeColor="text1"/>
                <w:sz w:val="22"/>
                <w:lang w:eastAsia="lv-LV"/>
              </w:rPr>
              <w:t>14</w:t>
            </w:r>
          </w:p>
        </w:tc>
        <w:tc>
          <w:tcPr>
            <w:tcW w:w="3827" w:type="dxa"/>
          </w:tcPr>
          <w:p w:rsidR="0023009E" w:rsidRPr="00693415" w:rsidRDefault="0023009E" w:rsidP="00693415">
            <w:pPr>
              <w:ind w:firstLine="567"/>
              <w:jc w:val="both"/>
              <w:rPr>
                <w:rFonts w:eastAsia="Times New Roman"/>
                <w:b/>
                <w:sz w:val="22"/>
                <w:u w:val="single"/>
                <w:lang w:eastAsia="lv-LV"/>
              </w:rPr>
            </w:pPr>
            <w:r w:rsidRPr="00693415">
              <w:rPr>
                <w:rFonts w:eastAsia="Times New Roman"/>
                <w:b/>
                <w:sz w:val="22"/>
                <w:u w:val="single"/>
                <w:lang w:eastAsia="lv-LV"/>
              </w:rPr>
              <w:t>Frakcija “No sirds Latvijai”</w:t>
            </w:r>
          </w:p>
          <w:p w:rsidR="0023009E" w:rsidRPr="00693415" w:rsidRDefault="0023009E" w:rsidP="00693415">
            <w:pPr>
              <w:tabs>
                <w:tab w:val="left" w:pos="1220"/>
              </w:tabs>
              <w:ind w:firstLine="567"/>
              <w:contextualSpacing/>
              <w:jc w:val="both"/>
              <w:rPr>
                <w:sz w:val="22"/>
              </w:rPr>
            </w:pPr>
            <w:r w:rsidRPr="00693415">
              <w:rPr>
                <w:sz w:val="22"/>
              </w:rPr>
              <w:t xml:space="preserve">Izslēgt likumprojekta </w:t>
            </w:r>
            <w:r>
              <w:rPr>
                <w:sz w:val="22"/>
              </w:rPr>
              <w:t>7</w:t>
            </w:r>
            <w:r w:rsidRPr="00693415">
              <w:rPr>
                <w:sz w:val="22"/>
              </w:rPr>
              <w:t>.pantu.</w:t>
            </w:r>
            <w:r>
              <w:rPr>
                <w:rStyle w:val="EndnoteReference"/>
                <w:sz w:val="22"/>
              </w:rPr>
              <w:endnoteReference w:id="2"/>
            </w:r>
          </w:p>
          <w:p w:rsidR="0023009E" w:rsidRPr="00496988" w:rsidRDefault="0023009E" w:rsidP="00EF0E8C">
            <w:pPr>
              <w:ind w:firstLine="567"/>
              <w:jc w:val="both"/>
              <w:rPr>
                <w:rFonts w:eastAsia="Times New Roman"/>
                <w:color w:val="000000" w:themeColor="text1"/>
                <w:sz w:val="22"/>
                <w:lang w:eastAsia="lv-LV"/>
              </w:rPr>
            </w:pPr>
          </w:p>
        </w:tc>
        <w:tc>
          <w:tcPr>
            <w:tcW w:w="1559" w:type="dxa"/>
          </w:tcPr>
          <w:p w:rsidR="0023009E" w:rsidRPr="00496988" w:rsidRDefault="0023009E" w:rsidP="0023009E">
            <w:pPr>
              <w:jc w:val="both"/>
              <w:rPr>
                <w:rFonts w:eastAsia="Times New Roman"/>
                <w:color w:val="000000" w:themeColor="text1"/>
                <w:sz w:val="22"/>
                <w:lang w:eastAsia="lv-LV"/>
              </w:rPr>
            </w:pPr>
            <w:r w:rsidRPr="0023009E">
              <w:rPr>
                <w:rFonts w:eastAsia="Times New Roman"/>
                <w:b/>
                <w:color w:val="000000" w:themeColor="text1"/>
                <w:sz w:val="22"/>
                <w:lang w:eastAsia="lv-LV"/>
              </w:rPr>
              <w:t>Neatbalstīt</w:t>
            </w:r>
          </w:p>
        </w:tc>
        <w:tc>
          <w:tcPr>
            <w:tcW w:w="1134" w:type="dxa"/>
          </w:tcPr>
          <w:p w:rsidR="0023009E" w:rsidRPr="00496988" w:rsidRDefault="0023009E" w:rsidP="00EF0E8C">
            <w:pPr>
              <w:ind w:firstLine="567"/>
              <w:jc w:val="both"/>
              <w:rPr>
                <w:rFonts w:eastAsia="Times New Roman"/>
                <w:color w:val="000000" w:themeColor="text1"/>
                <w:sz w:val="22"/>
                <w:lang w:eastAsia="lv-LV"/>
              </w:rPr>
            </w:pPr>
          </w:p>
        </w:tc>
      </w:tr>
      <w:tr w:rsidR="0023009E" w:rsidRPr="00496988" w:rsidTr="00EB7EDD">
        <w:tc>
          <w:tcPr>
            <w:tcW w:w="3403" w:type="dxa"/>
            <w:shd w:val="clear" w:color="auto" w:fill="auto"/>
          </w:tcPr>
          <w:p w:rsidR="0023009E" w:rsidRPr="00496988" w:rsidRDefault="0023009E" w:rsidP="00EF0E8C">
            <w:pPr>
              <w:ind w:firstLine="567"/>
              <w:jc w:val="both"/>
              <w:rPr>
                <w:color w:val="000000" w:themeColor="text1"/>
                <w:sz w:val="22"/>
              </w:rPr>
            </w:pPr>
          </w:p>
        </w:tc>
        <w:tc>
          <w:tcPr>
            <w:tcW w:w="3827" w:type="dxa"/>
            <w:shd w:val="clear" w:color="auto" w:fill="auto"/>
          </w:tcPr>
          <w:p w:rsidR="0023009E" w:rsidRPr="00271EF7" w:rsidRDefault="0023009E" w:rsidP="00271EF7">
            <w:pPr>
              <w:pStyle w:val="ListParagraph"/>
              <w:widowControl w:val="0"/>
              <w:spacing w:before="0" w:beforeAutospacing="0" w:after="0" w:afterAutospacing="0"/>
              <w:ind w:firstLine="567"/>
              <w:contextualSpacing/>
              <w:jc w:val="both"/>
              <w:rPr>
                <w:color w:val="000000" w:themeColor="text1"/>
                <w:sz w:val="22"/>
                <w:szCs w:val="22"/>
              </w:rPr>
            </w:pPr>
            <w:r w:rsidRPr="00271EF7">
              <w:rPr>
                <w:sz w:val="22"/>
                <w:szCs w:val="22"/>
              </w:rPr>
              <w:t>Likums stājas spēkā 2018. gada 1. janvārī.</w:t>
            </w:r>
          </w:p>
        </w:tc>
        <w:tc>
          <w:tcPr>
            <w:tcW w:w="1418" w:type="dxa"/>
          </w:tcPr>
          <w:p w:rsidR="0023009E" w:rsidRPr="00496988" w:rsidRDefault="0023009E" w:rsidP="00EF0E8C">
            <w:pPr>
              <w:jc w:val="center"/>
              <w:rPr>
                <w:rFonts w:eastAsia="Times New Roman"/>
                <w:color w:val="000000" w:themeColor="text1"/>
                <w:sz w:val="22"/>
                <w:lang w:eastAsia="lv-LV"/>
              </w:rPr>
            </w:pPr>
          </w:p>
        </w:tc>
        <w:tc>
          <w:tcPr>
            <w:tcW w:w="3827" w:type="dxa"/>
          </w:tcPr>
          <w:p w:rsidR="0023009E" w:rsidRPr="00496988" w:rsidRDefault="0023009E" w:rsidP="00EF0E8C">
            <w:pPr>
              <w:ind w:firstLine="567"/>
              <w:jc w:val="both"/>
              <w:rPr>
                <w:rFonts w:eastAsia="Times New Roman"/>
                <w:color w:val="000000" w:themeColor="text1"/>
                <w:sz w:val="22"/>
                <w:lang w:eastAsia="lv-LV"/>
              </w:rPr>
            </w:pPr>
          </w:p>
        </w:tc>
        <w:tc>
          <w:tcPr>
            <w:tcW w:w="1559" w:type="dxa"/>
          </w:tcPr>
          <w:p w:rsidR="0023009E" w:rsidRPr="00496988" w:rsidRDefault="0023009E" w:rsidP="00EF0E8C">
            <w:pPr>
              <w:ind w:firstLine="567"/>
              <w:jc w:val="both"/>
              <w:rPr>
                <w:rFonts w:eastAsia="Times New Roman"/>
                <w:color w:val="000000" w:themeColor="text1"/>
                <w:sz w:val="22"/>
                <w:lang w:eastAsia="lv-LV"/>
              </w:rPr>
            </w:pPr>
          </w:p>
        </w:tc>
        <w:tc>
          <w:tcPr>
            <w:tcW w:w="1134" w:type="dxa"/>
          </w:tcPr>
          <w:p w:rsidR="0023009E" w:rsidRPr="00496988" w:rsidRDefault="0023009E" w:rsidP="00EF0E8C">
            <w:pPr>
              <w:ind w:firstLine="567"/>
              <w:jc w:val="both"/>
              <w:rPr>
                <w:rFonts w:eastAsia="Times New Roman"/>
                <w:color w:val="000000" w:themeColor="text1"/>
                <w:sz w:val="22"/>
                <w:lang w:eastAsia="lv-LV"/>
              </w:rPr>
            </w:pPr>
          </w:p>
        </w:tc>
      </w:tr>
    </w:tbl>
    <w:p w:rsidR="007A4333" w:rsidRDefault="007A4333"/>
    <w:sectPr w:rsidR="007A4333" w:rsidSect="00EB7EDD">
      <w:footerReference w:type="default" r:id="rId8"/>
      <w:footerReference w:type="first" r:id="rId9"/>
      <w:pgSz w:w="16838" w:h="11906" w:orient="landscape" w:code="9"/>
      <w:pgMar w:top="1134" w:right="1440" w:bottom="1134" w:left="1440"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785" w:rsidRDefault="00A90785" w:rsidP="0034236F">
      <w:r>
        <w:separator/>
      </w:r>
    </w:p>
  </w:endnote>
  <w:endnote w:type="continuationSeparator" w:id="0">
    <w:p w:rsidR="00A90785" w:rsidRDefault="00A90785" w:rsidP="0034236F">
      <w:r>
        <w:continuationSeparator/>
      </w:r>
    </w:p>
  </w:endnote>
  <w:endnote w:id="1">
    <w:p w:rsidR="0023009E" w:rsidRDefault="0023009E" w:rsidP="00A575BA">
      <w:pPr>
        <w:ind w:left="357"/>
        <w:jc w:val="both"/>
      </w:pPr>
      <w:r w:rsidRPr="00693415">
        <w:rPr>
          <w:rFonts w:eastAsia="Times New Roman"/>
          <w:b/>
          <w:sz w:val="22"/>
          <w:u w:val="single"/>
          <w:lang w:eastAsia="lv-LV"/>
        </w:rPr>
        <w:t>Frakcija “No sirds Latvijai”</w:t>
      </w:r>
    </w:p>
    <w:p w:rsidR="0023009E" w:rsidRPr="00693415" w:rsidRDefault="0023009E" w:rsidP="00693415">
      <w:pPr>
        <w:pStyle w:val="ListParagraph"/>
        <w:tabs>
          <w:tab w:val="left" w:pos="1220"/>
        </w:tabs>
        <w:spacing w:before="0" w:beforeAutospacing="0" w:after="0" w:afterAutospacing="0"/>
        <w:jc w:val="both"/>
        <w:rPr>
          <w:sz w:val="20"/>
          <w:szCs w:val="20"/>
        </w:rPr>
      </w:pPr>
      <w:r w:rsidRPr="00693415">
        <w:rPr>
          <w:rStyle w:val="EndnoteReference"/>
          <w:sz w:val="20"/>
          <w:szCs w:val="20"/>
        </w:rPr>
        <w:endnoteRef/>
      </w:r>
      <w:r w:rsidRPr="00693415">
        <w:rPr>
          <w:sz w:val="20"/>
          <w:szCs w:val="20"/>
        </w:rPr>
        <w:t xml:space="preserve"> Pamatojums:</w:t>
      </w:r>
    </w:p>
    <w:p w:rsidR="0023009E" w:rsidRPr="00693415" w:rsidRDefault="0023009E" w:rsidP="00693415">
      <w:pPr>
        <w:pStyle w:val="ListParagraph"/>
        <w:tabs>
          <w:tab w:val="left" w:pos="1220"/>
        </w:tabs>
        <w:spacing w:before="0" w:beforeAutospacing="0" w:after="0" w:afterAutospacing="0"/>
        <w:jc w:val="both"/>
        <w:rPr>
          <w:sz w:val="20"/>
          <w:szCs w:val="20"/>
        </w:rPr>
      </w:pPr>
      <w:r w:rsidRPr="00693415">
        <w:rPr>
          <w:sz w:val="20"/>
          <w:szCs w:val="20"/>
        </w:rPr>
        <w:t xml:space="preserve">Lai veidotu stabilu, saprotamu un tālredzīgu nodokļu politiku ir nepieciešams noteikt pamatprincipus ar kādiem var rēķināties Latvijas iedzīvotāji. Kā 2017.gada 18. jūlija vēstulē norādīja Latvijas Tirgotāju asociācijas: “Maksājot valsts noteiktos 16 nodokļus un 98 valsts un pašvaldības nodevas, kopējais nodokļu slogs valsts vidējai algai pārsniedz 70%, bet minimālās algas saņēmējam sasniedz pat 80% robežu.”. Uzskatām, ka ir nepieciešams noteikt, ka darba ņēmējam – fiziskai personai kopējais nodokļu slogs, ietverot arī valsts un pašvaldību nodevas, nevar pārsniegt 58% no gūtajiem ieņēmumiem.  Lai nodrošinātu šīs normas ieviešanu, ir jānosaka pienākums Finanšu ministrijai ik gadu veikt nodokļu sloga aprēķinu. </w:t>
      </w:r>
    </w:p>
  </w:endnote>
  <w:endnote w:id="2">
    <w:p w:rsidR="0023009E" w:rsidRPr="00693415" w:rsidRDefault="0023009E" w:rsidP="00693415">
      <w:pPr>
        <w:jc w:val="both"/>
        <w:rPr>
          <w:rFonts w:eastAsia="Times New Roman"/>
          <w:color w:val="000000" w:themeColor="text1"/>
          <w:sz w:val="20"/>
          <w:szCs w:val="20"/>
          <w:lang w:eastAsia="lv-LV"/>
        </w:rPr>
      </w:pPr>
      <w:r w:rsidRPr="00693415">
        <w:rPr>
          <w:rStyle w:val="EndnoteReference"/>
          <w:sz w:val="20"/>
          <w:szCs w:val="20"/>
        </w:rPr>
        <w:endnoteRef/>
      </w:r>
      <w:r w:rsidRPr="00693415">
        <w:rPr>
          <w:sz w:val="20"/>
          <w:szCs w:val="20"/>
        </w:rPr>
        <w:t xml:space="preserve"> </w:t>
      </w:r>
      <w:r w:rsidRPr="00693415">
        <w:rPr>
          <w:rFonts w:eastAsia="Times New Roman"/>
          <w:color w:val="000000" w:themeColor="text1"/>
          <w:sz w:val="20"/>
          <w:szCs w:val="20"/>
          <w:lang w:eastAsia="lv-LV"/>
        </w:rPr>
        <w:t>Pamatojums.</w:t>
      </w:r>
    </w:p>
    <w:p w:rsidR="0023009E" w:rsidRPr="00693415" w:rsidRDefault="0023009E" w:rsidP="00693415">
      <w:pPr>
        <w:tabs>
          <w:tab w:val="left" w:pos="1220"/>
        </w:tabs>
        <w:jc w:val="both"/>
        <w:rPr>
          <w:rFonts w:eastAsia="Times New Roman"/>
          <w:sz w:val="20"/>
          <w:szCs w:val="20"/>
          <w:lang w:eastAsia="lv-LV"/>
        </w:rPr>
      </w:pPr>
      <w:r w:rsidRPr="00693415">
        <w:rPr>
          <w:rFonts w:eastAsia="Times New Roman"/>
          <w:sz w:val="20"/>
          <w:szCs w:val="20"/>
          <w:lang w:eastAsia="lv-LV"/>
        </w:rPr>
        <w:t xml:space="preserve">1.pantā ietvertā informācija par personu kontu stāvokli “noslīcinās” VID ar ļoti lielu informācijas apjomu, kas praktiski vairāk kā 90 % nebūs izmantojama. Taču būtiskākais – nesamērīgs personas privātās dzīves aizskārums no valsts puses, proti, neattaisnojams Satversmes normu pārkāpums. Tāda personas dzīves izsekošana raksturīga totalitāriem režīmiem (pat padomju sistēmā tā nedarīja). Anotācijā pēc paviršās analīzes ir norādīts virspusīgs apgalvojums, ka Satversmes tiesa un Eiropas cilvēktiesību tiesa ļaujot pieņemt </w:t>
      </w:r>
      <w:r w:rsidRPr="00693415">
        <w:rPr>
          <w:rFonts w:eastAsia="Times New Roman"/>
          <w:sz w:val="20"/>
          <w:szCs w:val="20"/>
          <w:u w:val="single"/>
          <w:lang w:eastAsia="lv-LV"/>
        </w:rPr>
        <w:t>visus nepieciešamos likumus, lai nodrošinātu nodokļu nomaksu,</w:t>
      </w:r>
      <w:r w:rsidRPr="00693415">
        <w:rPr>
          <w:rFonts w:eastAsia="Times New Roman"/>
          <w:sz w:val="20"/>
          <w:szCs w:val="20"/>
          <w:lang w:eastAsia="lv-LV"/>
        </w:rPr>
        <w:t xml:space="preserve"> taču šāds apgalvojums neatbilst patiesībai. Cilvēktiesību aizskārumu vērtē no tā, cik plašu personu loku tas skar un kāds ir iegūtais labums. Nevar aizskart visu sabiedrību un apgalvot, ka tas ir šīs pašas sabiedrības interesēs. Satversmes tiesa ir arī atzinusi, ka nodokļu administrācijas darba atvieglošana nevar būt par attaisnojumu cilvēktiesību aizskārumam.</w:t>
      </w:r>
    </w:p>
    <w:p w:rsidR="0023009E" w:rsidRPr="00693415" w:rsidRDefault="0023009E" w:rsidP="00693415">
      <w:pPr>
        <w:tabs>
          <w:tab w:val="left" w:pos="1220"/>
        </w:tabs>
        <w:jc w:val="both"/>
        <w:rPr>
          <w:rFonts w:eastAsia="Times New Roman"/>
          <w:sz w:val="20"/>
          <w:szCs w:val="20"/>
          <w:lang w:eastAsia="lv-LV"/>
        </w:rPr>
      </w:pPr>
      <w:r w:rsidRPr="00693415">
        <w:rPr>
          <w:rFonts w:eastAsia="Times New Roman"/>
          <w:sz w:val="20"/>
          <w:szCs w:val="20"/>
          <w:lang w:eastAsia="lv-LV"/>
        </w:rPr>
        <w:t>2. pantā ietvertais likuma 18.panta 28.punkts pārkāpj uzņēmēju komercnoslēpumu, jo tiek publiskotas darba algas. Šādam uzņēmēju (un arī cilvēku) tiesību aizskārumam nav leģitīma mērķa. Nav skaidrs, kuras demokrātiskas valsts piemērs ņemts par paraugu.</w:t>
      </w:r>
    </w:p>
    <w:p w:rsidR="0023009E" w:rsidRPr="00693415" w:rsidRDefault="0023009E" w:rsidP="00693415">
      <w:pPr>
        <w:tabs>
          <w:tab w:val="left" w:pos="1220"/>
        </w:tabs>
        <w:jc w:val="both"/>
        <w:rPr>
          <w:rFonts w:eastAsia="Times New Roman"/>
          <w:sz w:val="20"/>
          <w:szCs w:val="20"/>
          <w:lang w:eastAsia="lv-LV"/>
        </w:rPr>
      </w:pPr>
      <w:r w:rsidRPr="00693415">
        <w:rPr>
          <w:rFonts w:eastAsia="Times New Roman"/>
          <w:sz w:val="20"/>
          <w:szCs w:val="20"/>
          <w:lang w:eastAsia="lv-LV"/>
        </w:rPr>
        <w:t xml:space="preserve">29. un 30.punkts pārkāpj cilvēka privāto dzīvi. Informācijas publiskošanai par administratīvo sodīšanu vai par deklarāciju neiesniegšanu nav nekāda leģitīmā mērķa (izņēmumus var noteikt likums attiecībā uz noteiktu valsts amatpersonu loku). Pat par dīvainu varētu uzskatīt 30.punktā norādīto mērķi, ka VID publicētā informācija ar deklarāciju neiesniedzējiem palīdzēs pašam VID veikt kontroli pār nodokļu maksāšanu (vai bez publicēšanas VID šo informāciju neredz un nevar veikt kvalitatīvu kontroli?). Anotācijā ir ļoti plaši analizētas valsts tiesības apstrādāt šos datus. Par to nav šaubu. Taču nav analizēts personas datu </w:t>
      </w:r>
      <w:r w:rsidRPr="00693415">
        <w:rPr>
          <w:rFonts w:eastAsia="Times New Roman"/>
          <w:sz w:val="20"/>
          <w:szCs w:val="20"/>
          <w:u w:val="single"/>
          <w:lang w:eastAsia="lv-LV"/>
        </w:rPr>
        <w:t>publiskošanas</w:t>
      </w:r>
      <w:r w:rsidRPr="00693415">
        <w:rPr>
          <w:rFonts w:eastAsia="Times New Roman"/>
          <w:sz w:val="20"/>
          <w:szCs w:val="20"/>
          <w:lang w:eastAsia="lv-LV"/>
        </w:rPr>
        <w:t xml:space="preserve"> mērķis. “Publiskā nokaunināšana” nav Satversmes 116.pantā atļautais personas privātās dzīves aizskāruma leģitīmais mērķis. (Salīdzināšanai – pat par personas kriminālsodīšanu informāciju īpaši nepublisko. Ārvalstīs notiek garas diskusijas, vai drīkst publiskot informāciju par pedofiliem. Šī informācija paliek tikai speciālo dienestu rīcībā. Un šādus datus valsts ir tiesīga </w:t>
      </w:r>
      <w:r w:rsidRPr="00693415">
        <w:rPr>
          <w:rFonts w:eastAsia="Times New Roman"/>
          <w:sz w:val="20"/>
          <w:szCs w:val="20"/>
          <w:u w:val="single"/>
          <w:lang w:eastAsia="lv-LV"/>
        </w:rPr>
        <w:t>apstrādāt</w:t>
      </w:r>
      <w:r w:rsidRPr="00693415">
        <w:rPr>
          <w:rFonts w:eastAsia="Times New Roman"/>
          <w:sz w:val="20"/>
          <w:szCs w:val="20"/>
          <w:lang w:eastAsia="lv-LV"/>
        </w:rPr>
        <w:t>).</w:t>
      </w:r>
    </w:p>
    <w:p w:rsidR="0023009E" w:rsidRPr="00693415" w:rsidRDefault="0023009E" w:rsidP="00693415">
      <w:pPr>
        <w:tabs>
          <w:tab w:val="left" w:pos="1220"/>
        </w:tabs>
        <w:jc w:val="both"/>
        <w:rPr>
          <w:rFonts w:eastAsia="Times New Roman"/>
          <w:sz w:val="20"/>
          <w:szCs w:val="20"/>
          <w:lang w:eastAsia="lv-LV"/>
        </w:rPr>
      </w:pPr>
      <w:r w:rsidRPr="00693415">
        <w:rPr>
          <w:rFonts w:eastAsia="Times New Roman"/>
          <w:sz w:val="20"/>
          <w:szCs w:val="20"/>
          <w:lang w:eastAsia="lv-LV"/>
        </w:rPr>
        <w:t>Visbeidzot – likumprojekts nekādā veidā nav saistīts ar nodokļu reformu.</w:t>
      </w:r>
    </w:p>
    <w:p w:rsidR="0023009E" w:rsidRPr="00693415" w:rsidRDefault="0023009E" w:rsidP="00693415">
      <w:pPr>
        <w:pStyle w:val="EndnoteText"/>
        <w:jc w:val="both"/>
      </w:pPr>
    </w:p>
    <w:p w:rsidR="0023009E" w:rsidRDefault="0023009E" w:rsidP="00A575BA">
      <w:pPr>
        <w:ind w:firstLine="720"/>
        <w:jc w:val="both"/>
        <w:rPr>
          <w:sz w:val="28"/>
          <w:szCs w:val="28"/>
        </w:rPr>
      </w:pPr>
      <w:r w:rsidRPr="002E259F">
        <w:rPr>
          <w:b/>
          <w:sz w:val="22"/>
          <w:u w:val="single"/>
        </w:rPr>
        <w:t>Finanšu ministre D.Reizniece–Ozola</w:t>
      </w:r>
    </w:p>
    <w:p w:rsidR="0023009E" w:rsidRPr="00A575BA" w:rsidRDefault="0023009E" w:rsidP="00A575BA">
      <w:pPr>
        <w:ind w:firstLine="720"/>
        <w:jc w:val="both"/>
        <w:rPr>
          <w:sz w:val="20"/>
          <w:szCs w:val="20"/>
        </w:rPr>
      </w:pPr>
      <w:r w:rsidRPr="00A575BA">
        <w:rPr>
          <w:sz w:val="20"/>
          <w:szCs w:val="20"/>
        </w:rPr>
        <w:t>Ievērojot juridiskās tehnikas prasības, likumprojekta 1. pantā iekļauto regulējumu ir nepieciešams izteikt kā atsevišķu likuma "Par nodokļiem un nodevām" (turpmāk – Likums) pantu.</w:t>
      </w:r>
    </w:p>
    <w:p w:rsidR="0023009E" w:rsidRPr="00A575BA" w:rsidRDefault="0023009E" w:rsidP="00A575BA">
      <w:pPr>
        <w:ind w:firstLine="720"/>
        <w:jc w:val="both"/>
        <w:rPr>
          <w:sz w:val="20"/>
          <w:szCs w:val="20"/>
        </w:rPr>
      </w:pPr>
      <w:r w:rsidRPr="00A575BA">
        <w:rPr>
          <w:sz w:val="20"/>
          <w:szCs w:val="20"/>
        </w:rPr>
        <w:t>Tādējādi, likumprojekta 1. pants ir svītrojams (attiecīgi mainot turpmāko likumprojektā iekļauto pantu numerāciju) un likumprojekts ir papildināms ar jaunu 3. pantu, paredzot  Likuma V nodaļu papildināt ar 22.</w:t>
      </w:r>
      <w:r w:rsidRPr="00A575BA">
        <w:rPr>
          <w:sz w:val="20"/>
          <w:szCs w:val="20"/>
          <w:vertAlign w:val="superscript"/>
        </w:rPr>
        <w:t>3</w:t>
      </w:r>
      <w:r w:rsidRPr="00A575BA">
        <w:rPr>
          <w:sz w:val="20"/>
          <w:szCs w:val="20"/>
        </w:rPr>
        <w:t> pantu.</w:t>
      </w:r>
    </w:p>
    <w:p w:rsidR="0023009E" w:rsidRPr="00A575BA" w:rsidRDefault="0023009E" w:rsidP="00A575BA">
      <w:pPr>
        <w:ind w:firstLine="720"/>
        <w:jc w:val="both"/>
        <w:rPr>
          <w:sz w:val="20"/>
          <w:szCs w:val="20"/>
        </w:rPr>
      </w:pPr>
      <w:r w:rsidRPr="00A575BA">
        <w:rPr>
          <w:sz w:val="20"/>
          <w:szCs w:val="20"/>
        </w:rPr>
        <w:t>Ievērojot Eiropas Parlamenta un Padomes 2016. gada 27. aprīļa regulas (ES) 2016/679 par fizisku personu aizsardzību attiecībā uz personas datu apstrādi un šādu datu brīvu apriti un ar ko atceļ Direktīvu 95/46/EK (Vispārīgās datu aizsardzības regula) nosacījumus, kā arī ievērojot Fizisko personas datu aizsardzības likuma prasības attiecībā uz personas datu apstrādes mērķi, glabāšanas laikposmu un personas datu aizsardzību, Likuma 22.</w:t>
      </w:r>
      <w:r w:rsidRPr="00A575BA">
        <w:rPr>
          <w:sz w:val="20"/>
          <w:szCs w:val="20"/>
          <w:vertAlign w:val="superscript"/>
        </w:rPr>
        <w:t>3 </w:t>
      </w:r>
      <w:r w:rsidRPr="00A575BA">
        <w:rPr>
          <w:sz w:val="20"/>
          <w:szCs w:val="20"/>
        </w:rPr>
        <w:t>pantā iekļautais regulējums ir precizēts, precizējot datu apstrādes nolūku, nosakot no kredītiestādes un maksājumu pakalpojumu sniedzēja, kas sniedz ar maksājumu kontu saistītu pakalpojumu, saņemtās informācijas par fizisko personu glabāšanas ilgumu, kā arī paredzot Valsts ieņēmumu dienesta pienākumu veikt konkrētus pasākumus saņemtās informācijas aizsardzībai, lai novērstu neatļautu piekļūšanu šai informācijai, kā arī novērstu neatļautu tās grozīšanu, izplatīšanu vai iznīcināšanu.</w:t>
      </w:r>
    </w:p>
    <w:p w:rsidR="0023009E" w:rsidRPr="00A575BA" w:rsidRDefault="0023009E" w:rsidP="00A575BA">
      <w:pPr>
        <w:ind w:firstLine="720"/>
        <w:jc w:val="both"/>
        <w:rPr>
          <w:sz w:val="20"/>
          <w:szCs w:val="20"/>
        </w:rPr>
      </w:pPr>
      <w:r w:rsidRPr="00A575BA">
        <w:rPr>
          <w:sz w:val="20"/>
          <w:szCs w:val="20"/>
        </w:rPr>
        <w:t>Ņemot vērā, ka likumprojektā iekļautā regulējuma mērķis ir ne tikai identificēt fiziskās personas, kurām pastāv visaugstākais risks, ka nav deklarēti visi ienākumi un/vai nodokļi pilnā apmērā, bet arī iegūt informāciju par tiem darba devējiem, kuri saviem darbiniekiem izmaksā darba samaksu, kas netiek uzrādīta grāmatvedības uzskaitē, ir precizēts likumprojektā ietvertais datu apstrādes nolūks, nosakot, ka informācija par fizisko personu no kredītiestādes un maksājumu pakalpojumu sniedzēja, kas sniedz ar maksājumu kontu saistītu pakalpojumu, ir nepieciešama, lai veicinātu nodokļu maksātāju labprātīgu nodokļu nomaksu.</w:t>
      </w:r>
    </w:p>
    <w:p w:rsidR="0023009E" w:rsidRPr="00A575BA" w:rsidRDefault="0023009E" w:rsidP="00A575BA">
      <w:pPr>
        <w:ind w:firstLine="720"/>
        <w:jc w:val="both"/>
        <w:rPr>
          <w:sz w:val="20"/>
          <w:szCs w:val="20"/>
        </w:rPr>
      </w:pPr>
      <w:r w:rsidRPr="00A575BA">
        <w:rPr>
          <w:sz w:val="20"/>
          <w:szCs w:val="20"/>
        </w:rPr>
        <w:t>Savukārt, ņemot vērā, ka Valsts ieņēmumu dienests no kredītiestādes un maksājumu pakalpojumu sniedzēja, kas sniedz ar maksājumu kontu saistītu pakalpojumu, saņemto informāciju izmantos fizisko personu riska analīzē, nepieciešamības gadījumā veicot nodokļu kontroles pasākumus, secināms, ka minētās informācijas izmantošanas mērķis ir līdzīgs, kā informācijai, kas tiek saņemta saskaņā ar Likuma 22.</w:t>
      </w:r>
      <w:r w:rsidRPr="00A575BA">
        <w:rPr>
          <w:sz w:val="20"/>
          <w:szCs w:val="20"/>
          <w:vertAlign w:val="superscript"/>
        </w:rPr>
        <w:t>2</w:t>
      </w:r>
      <w:r w:rsidRPr="00A575BA">
        <w:rPr>
          <w:sz w:val="20"/>
          <w:szCs w:val="20"/>
        </w:rPr>
        <w:t> pantu. Tādējādi, līdzīgi kā Likuma 22.</w:t>
      </w:r>
      <w:r w:rsidRPr="00A575BA">
        <w:rPr>
          <w:sz w:val="20"/>
          <w:szCs w:val="20"/>
          <w:vertAlign w:val="superscript"/>
        </w:rPr>
        <w:t>2</w:t>
      </w:r>
      <w:r w:rsidRPr="00A575BA">
        <w:rPr>
          <w:sz w:val="20"/>
          <w:szCs w:val="20"/>
        </w:rPr>
        <w:t> panta septītajā daļā saņemto informāciju Valsts ieņēmumu dienests glabās piecus gadus.</w:t>
      </w:r>
    </w:p>
    <w:p w:rsidR="0023009E" w:rsidRPr="00A575BA" w:rsidRDefault="0023009E" w:rsidP="00A575BA">
      <w:pPr>
        <w:ind w:firstLine="720"/>
        <w:jc w:val="both"/>
        <w:rPr>
          <w:sz w:val="20"/>
          <w:szCs w:val="20"/>
          <w:u w:val="single"/>
        </w:rPr>
      </w:pPr>
      <w:r w:rsidRPr="00A575BA">
        <w:rPr>
          <w:sz w:val="20"/>
          <w:szCs w:val="20"/>
          <w:u w:val="single"/>
        </w:rPr>
        <w:t>Par grozījumu 18. panta pirmās daļas 28. punktā</w:t>
      </w:r>
    </w:p>
    <w:p w:rsidR="0023009E" w:rsidRPr="00A575BA" w:rsidRDefault="0023009E" w:rsidP="00A575BA">
      <w:pPr>
        <w:ind w:firstLine="720"/>
        <w:jc w:val="both"/>
        <w:rPr>
          <w:sz w:val="20"/>
          <w:szCs w:val="20"/>
          <w:lang w:eastAsia="lv-LV"/>
        </w:rPr>
      </w:pPr>
      <w:r w:rsidRPr="00A575BA">
        <w:rPr>
          <w:sz w:val="20"/>
          <w:szCs w:val="20"/>
        </w:rPr>
        <w:t>Grozījums Likums 18. panta pirmajā daļā, to papildinot ar 28. punktu, ir izstrādāts ar mērķi veicināt ēnu ekonomikas mazināšanu, ņemot vērā, ka "aplokšņu algas" joprojām veido otru lielāko ēnu ekonomikas īpatsvara daļu Latvijā (40,2 %)</w:t>
      </w:r>
      <w:r w:rsidRPr="00A575BA">
        <w:rPr>
          <w:rStyle w:val="FootnoteReference"/>
          <w:sz w:val="20"/>
          <w:szCs w:val="20"/>
        </w:rPr>
        <w:endnoteRef/>
      </w:r>
      <w:r w:rsidRPr="00A575BA">
        <w:rPr>
          <w:sz w:val="20"/>
          <w:szCs w:val="20"/>
        </w:rPr>
        <w:t xml:space="preserve">. </w:t>
      </w:r>
    </w:p>
    <w:p w:rsidR="0023009E" w:rsidRPr="00A575BA" w:rsidRDefault="0023009E" w:rsidP="00A575BA">
      <w:pPr>
        <w:ind w:firstLine="720"/>
        <w:jc w:val="both"/>
        <w:rPr>
          <w:sz w:val="20"/>
          <w:szCs w:val="20"/>
        </w:rPr>
      </w:pPr>
      <w:r w:rsidRPr="00A575BA">
        <w:rPr>
          <w:sz w:val="20"/>
          <w:szCs w:val="20"/>
        </w:rPr>
        <w:t>Šobrīd likumprojektā ietvertais regulējums paredz publicēt tikai fiziskās personas vārdu un uzvārdu.</w:t>
      </w:r>
    </w:p>
    <w:p w:rsidR="0023009E" w:rsidRPr="00A575BA" w:rsidRDefault="0023009E" w:rsidP="00A575BA">
      <w:pPr>
        <w:ind w:firstLine="720"/>
        <w:jc w:val="both"/>
        <w:rPr>
          <w:sz w:val="20"/>
          <w:szCs w:val="20"/>
        </w:rPr>
      </w:pPr>
      <w:r w:rsidRPr="00A575BA">
        <w:rPr>
          <w:sz w:val="20"/>
          <w:szCs w:val="20"/>
        </w:rPr>
        <w:t>Šāds regulējums ne vienmēr nodrošinās izvirzītā mērķa sasniegšanu, jo persona apzinoties, ka tā netiks identificēta, nebūs motivēta uzrādīt grāmatvedības uzskaitē patieso darbiniekam izmaksāto darba samaksas apmēru. Tāpat šāds regulējums, kas neļauj identificēt darba devēju - fizisko personu, liedz iespēju nodokļu maksātājam veikt pilnīgu darījuma partnera uzticamības un darījuma risku novērtējumu, un atbildīgi pieņemt lēmumu par darījuma veikšanu vai arī atteikšanos no tā.</w:t>
      </w:r>
    </w:p>
    <w:p w:rsidR="0023009E" w:rsidRPr="00A575BA" w:rsidRDefault="0023009E" w:rsidP="00A575BA">
      <w:pPr>
        <w:ind w:firstLine="720"/>
        <w:jc w:val="both"/>
        <w:rPr>
          <w:sz w:val="20"/>
          <w:szCs w:val="20"/>
        </w:rPr>
      </w:pPr>
      <w:r w:rsidRPr="00A575BA">
        <w:rPr>
          <w:sz w:val="20"/>
          <w:szCs w:val="20"/>
        </w:rPr>
        <w:t>Tādējādi, lai būtu iespējams identificēt darba devēju – fizisko personu, kuru darbinieku vidējais mēneša atalgojums ir valstī noteiktās minimālās mēneša darba algas apmērā vai mazāks, kā arī, lai regulējumā ietvertais ierobežojums būtu samērīgs no personu datu aizsardzību regulējošo normatīvo aktu viedokļa, likumprojekta 2. pantā ietverto likuma 18. panta pirmās daļas 28. punktu ir nepieciešams papildināt ar informāciju, nosakot, ka attiecībā uz individuālo komersantu Valsts ieņēmumu dienests publicēs tās nosaukumu un reģistrācijas numuru, savukārt attiecībā uz fizisko personu -  tās vārdu, uzvārdu, personas koda otro pusi un dzimšanas gadu.</w:t>
      </w:r>
    </w:p>
    <w:p w:rsidR="0023009E" w:rsidRPr="00A575BA" w:rsidRDefault="0023009E" w:rsidP="00A575BA">
      <w:pPr>
        <w:ind w:firstLine="720"/>
        <w:jc w:val="both"/>
        <w:rPr>
          <w:sz w:val="20"/>
          <w:szCs w:val="20"/>
        </w:rPr>
      </w:pPr>
      <w:r w:rsidRPr="00A575BA">
        <w:rPr>
          <w:sz w:val="20"/>
          <w:szCs w:val="20"/>
        </w:rPr>
        <w:t>Vienlaikus, ņemot vērā, ka atbilstoši likuma "</w:t>
      </w:r>
      <w:r w:rsidRPr="00A575BA">
        <w:rPr>
          <w:bCs/>
          <w:sz w:val="20"/>
          <w:szCs w:val="20"/>
        </w:rPr>
        <w:t>Par darbinieku aizsardzību darba devēja maksātnespējas gadījumā</w:t>
      </w:r>
      <w:r w:rsidRPr="00A575BA">
        <w:rPr>
          <w:sz w:val="20"/>
          <w:szCs w:val="20"/>
        </w:rPr>
        <w:t>" 6. panta otrajai daļai ikvienam darba devējam ir pienākums katru gadu maksāt uzņēmējdarbības riska valsts nodevu, kuras apmērs saskaņā ar Ministru kabineta 2016. gada 20. decembra noteikumu Nr. 836 "Noteikumi par uzņēmējdarbības riska valsts nodevu 2017. gadā" 2. punktu ir fiksēta summa, kas nav atkarīga no darbiniekam izmaksātā atalgojuma apmēra, secināts, ka likumprojektā ietvertais regulējums neietekmēs nodevu saistību izpildi. Tādējādi no datu apstrādes mērķa ir svītrojams vārds "nodevu".</w:t>
      </w:r>
    </w:p>
    <w:p w:rsidR="0023009E" w:rsidRPr="00A575BA" w:rsidRDefault="0023009E" w:rsidP="00A575BA">
      <w:pPr>
        <w:ind w:firstLine="720"/>
        <w:jc w:val="both"/>
        <w:rPr>
          <w:sz w:val="20"/>
          <w:szCs w:val="20"/>
          <w:u w:val="single"/>
        </w:rPr>
      </w:pPr>
      <w:r w:rsidRPr="00A575BA">
        <w:rPr>
          <w:sz w:val="20"/>
          <w:szCs w:val="20"/>
          <w:u w:val="single"/>
        </w:rPr>
        <w:t>Par grozījumu 18. panta pirmās daļas 29. punktā</w:t>
      </w:r>
    </w:p>
    <w:p w:rsidR="0023009E" w:rsidRPr="00A575BA" w:rsidRDefault="0023009E" w:rsidP="00A575BA">
      <w:pPr>
        <w:ind w:firstLine="720"/>
        <w:jc w:val="both"/>
        <w:rPr>
          <w:sz w:val="20"/>
          <w:szCs w:val="20"/>
        </w:rPr>
      </w:pPr>
      <w:r w:rsidRPr="00A575BA">
        <w:rPr>
          <w:sz w:val="20"/>
          <w:szCs w:val="20"/>
        </w:rPr>
        <w:t>Šobrīd no likumprojektā iekļautā Likuma 18. panta pirmās daļas 29. punkta redakcijas izriet, ka Valsts ieņēmumu dienests savā mājaslapā publicēs informāciju par nodokļu maksātājiem, kuri ir administratīvi sodīti par darba samaksas noteikumu pārkāpšanu, saraksta veidā. Tādējādi minētā informācija būtu pieejama ikvienam.</w:t>
      </w:r>
    </w:p>
    <w:p w:rsidR="0023009E" w:rsidRPr="00A575BA" w:rsidRDefault="0023009E" w:rsidP="00A575BA">
      <w:pPr>
        <w:ind w:firstLine="720"/>
        <w:jc w:val="both"/>
        <w:rPr>
          <w:sz w:val="20"/>
          <w:szCs w:val="20"/>
        </w:rPr>
      </w:pPr>
      <w:r w:rsidRPr="00A575BA">
        <w:rPr>
          <w:sz w:val="20"/>
          <w:szCs w:val="20"/>
        </w:rPr>
        <w:t>Tomēr, ņemot vērā, ka ziņas par administratīvo pārkāpumu izdarījušo personu tiek iekļautas Sodu reģistrā un atbilstoši Sodu reģistra likuma 3. pantam reģistrā iekļautās ziņas ir ierobežotas pieejamības informācija, ir nepieciešams ierobežot to personu loku, kas piekļūtu Valsts ieņēmumu dienesta rīcībā esošajai informācijai par fiziskajām personām un juridiskās personas amatpersonām, kuras ir administratīvi sodītas par darba samaksas noteikumu pārkāpšanu.</w:t>
      </w:r>
    </w:p>
    <w:p w:rsidR="0023009E" w:rsidRPr="00A575BA" w:rsidRDefault="0023009E" w:rsidP="00A575BA">
      <w:pPr>
        <w:pStyle w:val="NoSpacing"/>
        <w:ind w:firstLine="720"/>
        <w:jc w:val="both"/>
        <w:rPr>
          <w:rFonts w:ascii="Times New Roman" w:hAnsi="Times New Roman" w:cs="Times New Roman"/>
          <w:sz w:val="20"/>
          <w:szCs w:val="20"/>
        </w:rPr>
      </w:pPr>
      <w:r w:rsidRPr="00A575BA">
        <w:rPr>
          <w:rFonts w:ascii="Times New Roman" w:hAnsi="Times New Roman" w:cs="Times New Roman"/>
          <w:sz w:val="20"/>
          <w:szCs w:val="20"/>
        </w:rPr>
        <w:t xml:space="preserve">Ņemot vērā, ka likumprojektā ietvertā regulējuma mērķis ir nodrošināt iespēju nodokļu maksātājam izvērtēt visus iespējamos ar konkrēto sadarbības partneri saistītos riskus, Likuma 18. panta pirmās daļas 29. punkts ir precizēts, nosakot, ka informāciju par administratīvi sodītajām personām no Valsts ieņēmumu dienesta tīmekļa vietnes varēs saņemt, ievadot tikai konkrētās fiziskās personas vārdu, uzvārdu un personas kodu, bet par juridiskās personas amatpersonu – ievadot juridiskās personas nosaukumu un reģistrācijas numuru. </w:t>
      </w:r>
    </w:p>
    <w:p w:rsidR="0023009E" w:rsidRPr="00A575BA" w:rsidRDefault="0023009E" w:rsidP="00A575BA">
      <w:pPr>
        <w:pStyle w:val="NoSpacing"/>
        <w:ind w:firstLine="720"/>
        <w:jc w:val="both"/>
        <w:rPr>
          <w:rFonts w:ascii="Times New Roman" w:hAnsi="Times New Roman" w:cs="Times New Roman"/>
          <w:sz w:val="20"/>
          <w:szCs w:val="20"/>
        </w:rPr>
      </w:pPr>
      <w:r w:rsidRPr="00A575BA">
        <w:rPr>
          <w:rFonts w:ascii="Times New Roman" w:hAnsi="Times New Roman" w:cs="Times New Roman"/>
          <w:sz w:val="20"/>
          <w:szCs w:val="20"/>
        </w:rPr>
        <w:t>Vienlaikus, ņemot vērā, ka minētās informācijas pieejamība motivēs nodokļu maksātājus ievērot normatīvo aktu prasības attiecībā uz izmaksātās darba samaksas uzrādīšanu grāmatvedībā, ir paplašināts Likuma 18. panta pirmās daļas 29. punktā minētās datu apstrādes nolūks.</w:t>
      </w:r>
    </w:p>
    <w:p w:rsidR="0023009E" w:rsidRPr="00A575BA" w:rsidRDefault="0023009E" w:rsidP="00A575BA">
      <w:pPr>
        <w:pStyle w:val="NoSpacing"/>
        <w:ind w:firstLine="720"/>
        <w:jc w:val="both"/>
        <w:rPr>
          <w:rFonts w:ascii="Times New Roman" w:hAnsi="Times New Roman" w:cs="Times New Roman"/>
          <w:sz w:val="20"/>
          <w:szCs w:val="20"/>
          <w:u w:val="single"/>
        </w:rPr>
      </w:pPr>
      <w:r w:rsidRPr="00A575BA">
        <w:rPr>
          <w:rFonts w:ascii="Times New Roman" w:hAnsi="Times New Roman" w:cs="Times New Roman"/>
          <w:sz w:val="20"/>
          <w:szCs w:val="20"/>
          <w:u w:val="single"/>
        </w:rPr>
        <w:t>Par grozījumu 18. panta pirmās daļas 30. punktā</w:t>
      </w:r>
    </w:p>
    <w:p w:rsidR="0023009E" w:rsidRPr="00A575BA" w:rsidRDefault="0023009E" w:rsidP="00A575BA">
      <w:pPr>
        <w:pStyle w:val="NoSpacing"/>
        <w:ind w:firstLine="720"/>
        <w:jc w:val="both"/>
        <w:rPr>
          <w:rFonts w:ascii="Times New Roman" w:hAnsi="Times New Roman" w:cs="Times New Roman"/>
          <w:sz w:val="20"/>
          <w:szCs w:val="20"/>
        </w:rPr>
      </w:pPr>
      <w:r w:rsidRPr="00A575BA">
        <w:rPr>
          <w:rFonts w:ascii="Times New Roman" w:hAnsi="Times New Roman" w:cs="Times New Roman"/>
          <w:sz w:val="20"/>
          <w:szCs w:val="20"/>
        </w:rPr>
        <w:t>Ņemot vērā, ka Valsts ieņēmumu dienests nevarēs nodrošināt pilnīgu un korektu informācijas publiskošanu par neiesniegtajām informatīvajām deklarācijām, jo informāciju par termiņā neiesniegtajām informatīvajām deklarācijām (piemēram, skaidrās naudas deklarāciju, ziņām par darba ņēmējiem, papildu deklarācija, par saņemtajiem aizdevumiem, darījuma kvīšu izlietojumu) Valsts ieņēmumu dienests galvenokārt iegūst tikai pēc to iesniegšanas vai veicot kontroles pasākumus, kā arī ievērojot to, ka ar informatīvās deklarācijas iesniegšanu netiek aprēķināts budžetā maksājamais nodoklis, ir nepieciešams precizēt likumprojektā iekļauto Likuma 18. panta pirmās daļas 30. punktu, nosakot, ka publiski pieejama ir informācija par nodokļu maksātājiem, kuri nav iesnieguši nodokļu administrācijai Likumā vai konkrēto nodokļu likumos paredzētās nodokļu deklarācijas. Vienlaikus, lai nodrošinātu nodokļu maksātāja iespēju iegūt pilnīgāku informāciju par darījuma partneri, tādējādi ļaujot novērtēt tā uzticamību un darījuma risku un atbildīgi pieņemt lēmumu par darījuma veikšanu vai atteikšanos no tā, likumprojektā iekļautais regulējums ir precizēts, nosakot, ka publicējama ir arī informācija par konkrēto neiesniegto nodokļu deklarāciju, norādot tās nosaukumu un iesniegšanas termiņu.</w:t>
      </w:r>
    </w:p>
    <w:p w:rsidR="0023009E" w:rsidRPr="00A575BA" w:rsidRDefault="0023009E" w:rsidP="00A575BA">
      <w:pPr>
        <w:ind w:firstLine="720"/>
        <w:jc w:val="both"/>
        <w:rPr>
          <w:sz w:val="20"/>
          <w:szCs w:val="20"/>
        </w:rPr>
      </w:pPr>
      <w:r w:rsidRPr="00A575BA">
        <w:rPr>
          <w:sz w:val="20"/>
          <w:szCs w:val="20"/>
        </w:rPr>
        <w:t xml:space="preserve">Savukārt, lai būtu iespēja identificēt nodokļu maksātāju – fizisko personu, kura nav iesniegusi nodokļu deklarāciju, kā arī, lai šāds regulējumā iekļautais ierobežojums būtu samērīgs no personu datu aizsardzību regulējošo normatīvo aktu viedokļa, likumprojekta </w:t>
      </w:r>
      <w:r w:rsidRPr="00A575BA">
        <w:rPr>
          <w:sz w:val="20"/>
          <w:szCs w:val="20"/>
          <w:u w:val="single"/>
        </w:rPr>
        <w:t>2. pantā ietverto likuma 18. panta pirmās daļas 30. punktu</w:t>
      </w:r>
      <w:r w:rsidRPr="00A575BA">
        <w:rPr>
          <w:sz w:val="20"/>
          <w:szCs w:val="20"/>
        </w:rPr>
        <w:t xml:space="preserve"> ir nepieciešams papildināt ar informāciju, nosakot, ka attiecībā uz individuālo komersantu Valsts ieņēmumu dienests publicēs tās nosaukumu un reģistrācijas numuru, savukārt attiecībā uz fizisko personu -  tās vārdu, uzvārdu, personas koda otro pusi un dzimšanas gadu.</w:t>
      </w:r>
    </w:p>
    <w:p w:rsidR="0023009E" w:rsidRPr="00A575BA" w:rsidRDefault="0023009E" w:rsidP="00A575BA">
      <w:pPr>
        <w:pStyle w:val="NoSpacing"/>
        <w:ind w:firstLine="720"/>
        <w:jc w:val="both"/>
        <w:rPr>
          <w:rFonts w:ascii="Times New Roman" w:hAnsi="Times New Roman" w:cs="Times New Roman"/>
          <w:sz w:val="20"/>
          <w:szCs w:val="20"/>
        </w:rPr>
      </w:pPr>
      <w:r w:rsidRPr="00A575BA">
        <w:rPr>
          <w:rFonts w:ascii="Times New Roman" w:hAnsi="Times New Roman" w:cs="Times New Roman"/>
          <w:sz w:val="20"/>
          <w:szCs w:val="20"/>
        </w:rPr>
        <w:t>Vienlaikus, ņemot vērā, ka minētās informācijas pieejamība motivēs nodokļu maksātājus ievērot normatīvo aktu prasības attiecībā uz nodokļu deklarāciju iesniegšanu, ir precizēts Likuma 18. panta pirmās daļas 30. punktā minētās datu apstrādes nolūks.</w:t>
      </w:r>
    </w:p>
    <w:p w:rsidR="0023009E" w:rsidRPr="00A575BA" w:rsidRDefault="0023009E" w:rsidP="00A575BA">
      <w:pPr>
        <w:pStyle w:val="NoSpacing"/>
        <w:ind w:firstLine="720"/>
        <w:jc w:val="both"/>
        <w:rPr>
          <w:rFonts w:ascii="Times New Roman" w:hAnsi="Times New Roman" w:cs="Times New Roman"/>
          <w:sz w:val="20"/>
          <w:szCs w:val="20"/>
        </w:rPr>
      </w:pPr>
      <w:r w:rsidRPr="00A575BA">
        <w:rPr>
          <w:rFonts w:ascii="Times New Roman" w:hAnsi="Times New Roman" w:cs="Times New Roman"/>
          <w:sz w:val="20"/>
          <w:szCs w:val="20"/>
        </w:rPr>
        <w:t>Savukārt, izvērtējot datu apstrādes ilgumu jeb informācijas publisku pieejamību, secināts, ka šajā gadījumā lietderīgāka būtu informācijas aktualizācija divas reizes mēnesī, kā tas šobrīd ir attiecībā uz informāciju par nodokļu nomaksas stāvokli. Tā rezultātā netiks būtiski palielināts Valsts ieņēmuma dienesta administratīvais slogs minētās informācijas apstrādē, kā tas ir šobrīd pie esošās likumprojekta redakcijas.</w:t>
      </w:r>
    </w:p>
    <w:p w:rsidR="0023009E" w:rsidRPr="00A575BA" w:rsidRDefault="0023009E" w:rsidP="00A575BA">
      <w:pPr>
        <w:ind w:firstLine="720"/>
        <w:jc w:val="both"/>
        <w:rPr>
          <w:sz w:val="20"/>
          <w:szCs w:val="20"/>
        </w:rPr>
      </w:pPr>
      <w:r w:rsidRPr="00A575BA">
        <w:rPr>
          <w:sz w:val="20"/>
          <w:szCs w:val="20"/>
        </w:rPr>
        <w:t xml:space="preserve">Ievērojot Eiropas Parlamenta un Padomes 2016. gada 27. aprīļa regulas (ES) 2016/679 par fizisku personu aizsardzību attiecībā uz personas datu apstrādi un šādu datu brīvu apriti un ar ko atceļ Direktīvu 95/46/EK (Vispārīgās datu aizsardzības regula) nosacījumus, kā arī ievērojot Fizisko personas datu aizsardzības </w:t>
      </w:r>
      <w:r w:rsidRPr="00A575BA">
        <w:rPr>
          <w:sz w:val="20"/>
          <w:szCs w:val="20"/>
          <w:u w:val="single"/>
        </w:rPr>
        <w:t>likuma 10. panta pirmās daļas prasības, Likuma 22. panta pirmās daļas 5. punktā i</w:t>
      </w:r>
      <w:r w:rsidRPr="00A575BA">
        <w:rPr>
          <w:sz w:val="20"/>
          <w:szCs w:val="20"/>
        </w:rPr>
        <w:t xml:space="preserve">ekļautais regulējums ir precizēts, nosakot datu apstrādes nolūku (mērķi), kā arī precizējot personu, par kuru informācija sniedzama un sniedzamās informācijas apjomu. </w:t>
      </w:r>
    </w:p>
    <w:p w:rsidR="0023009E" w:rsidRPr="00A575BA" w:rsidRDefault="0023009E" w:rsidP="00A575BA">
      <w:pPr>
        <w:ind w:firstLine="720"/>
        <w:jc w:val="both"/>
        <w:rPr>
          <w:sz w:val="20"/>
          <w:szCs w:val="20"/>
        </w:rPr>
      </w:pPr>
      <w:r w:rsidRPr="00A575BA">
        <w:rPr>
          <w:sz w:val="20"/>
          <w:szCs w:val="20"/>
        </w:rPr>
        <w:t>Savukārt, ņemot vērā, ka informācija par nodokļu maksātājiem, kuri ir administratīvi sodīti par darba samaksas noteikumu pārkāpšanu, būs iekļauta datubāzē, ir svītrots likumprojektā iekļautais grozījums, kas paredzēja Likuma 22. panta pirmo daļu papildināt ar 6. punktu.</w:t>
      </w:r>
    </w:p>
    <w:p w:rsidR="0023009E" w:rsidRPr="00A575BA" w:rsidRDefault="0023009E" w:rsidP="00A575BA">
      <w:pPr>
        <w:ind w:firstLine="720"/>
        <w:jc w:val="both"/>
        <w:rPr>
          <w:sz w:val="20"/>
          <w:szCs w:val="20"/>
        </w:rPr>
      </w:pPr>
      <w:r w:rsidRPr="00A575BA">
        <w:rPr>
          <w:sz w:val="20"/>
          <w:szCs w:val="20"/>
        </w:rPr>
        <w:t>Ņemot vērā, ka akts par piedziņas neiespējamību tiek pieņemts, ievērojot normatīvo aktu prasības (tātad, tiesiski), no likumprojekta 4. panta otrās daļas un 6. panta ir svītrojams vārds "tiesiski".</w:t>
      </w:r>
    </w:p>
    <w:p w:rsidR="0023009E" w:rsidRPr="00693415" w:rsidRDefault="0023009E" w:rsidP="00693415">
      <w:pPr>
        <w:pStyle w:val="EndnoteText"/>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0769225"/>
      <w:docPartObj>
        <w:docPartGallery w:val="Page Numbers (Bottom of Page)"/>
        <w:docPartUnique/>
      </w:docPartObj>
    </w:sdtPr>
    <w:sdtEndPr>
      <w:rPr>
        <w:noProof/>
      </w:rPr>
    </w:sdtEndPr>
    <w:sdtContent>
      <w:p w:rsidR="0034236F" w:rsidRDefault="0034236F">
        <w:pPr>
          <w:pStyle w:val="Footer"/>
          <w:jc w:val="right"/>
        </w:pPr>
        <w:r>
          <w:fldChar w:fldCharType="begin"/>
        </w:r>
        <w:r>
          <w:instrText xml:space="preserve"> PAGE   \* MERGEFORMAT </w:instrText>
        </w:r>
        <w:r>
          <w:fldChar w:fldCharType="separate"/>
        </w:r>
        <w:r w:rsidR="006F05E6">
          <w:rPr>
            <w:noProof/>
          </w:rPr>
          <w:t>21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FAB" w:rsidRPr="00D57FAB" w:rsidRDefault="00D57FAB">
    <w:pPr>
      <w:pStyle w:val="Footer"/>
      <w:rPr>
        <w:sz w:val="20"/>
        <w:szCs w:val="20"/>
      </w:rPr>
    </w:pPr>
    <w:r w:rsidRPr="00D57FAB">
      <w:rPr>
        <w:sz w:val="20"/>
        <w:szCs w:val="20"/>
      </w:rPr>
      <w:fldChar w:fldCharType="begin"/>
    </w:r>
    <w:r w:rsidRPr="00D57FAB">
      <w:rPr>
        <w:sz w:val="20"/>
        <w:szCs w:val="20"/>
      </w:rPr>
      <w:instrText xml:space="preserve"> FILENAME   \* MERGEFORMAT </w:instrText>
    </w:r>
    <w:r w:rsidRPr="00D57FAB">
      <w:rPr>
        <w:sz w:val="20"/>
        <w:szCs w:val="20"/>
      </w:rPr>
      <w:fldChar w:fldCharType="separate"/>
    </w:r>
    <w:r w:rsidRPr="00D57FAB">
      <w:rPr>
        <w:noProof/>
        <w:sz w:val="20"/>
        <w:szCs w:val="20"/>
      </w:rPr>
      <w:t>Lp974_2k_NNgroz uz MK.docx</w:t>
    </w:r>
    <w:r w:rsidRPr="00D57FAB">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785" w:rsidRDefault="00A90785" w:rsidP="0034236F">
      <w:r>
        <w:separator/>
      </w:r>
    </w:p>
  </w:footnote>
  <w:footnote w:type="continuationSeparator" w:id="0">
    <w:p w:rsidR="00A90785" w:rsidRDefault="00A90785" w:rsidP="003423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416EB"/>
    <w:multiLevelType w:val="hybridMultilevel"/>
    <w:tmpl w:val="F93E63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10D3ADF"/>
    <w:multiLevelType w:val="hybridMultilevel"/>
    <w:tmpl w:val="8954BE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021"/>
    <w:rsid w:val="000545F4"/>
    <w:rsid w:val="0023009E"/>
    <w:rsid w:val="00241D45"/>
    <w:rsid w:val="00271EF7"/>
    <w:rsid w:val="002E259F"/>
    <w:rsid w:val="0034236F"/>
    <w:rsid w:val="0034469C"/>
    <w:rsid w:val="00401575"/>
    <w:rsid w:val="00405509"/>
    <w:rsid w:val="004D7945"/>
    <w:rsid w:val="00622926"/>
    <w:rsid w:val="00640CBA"/>
    <w:rsid w:val="00640DA4"/>
    <w:rsid w:val="00693415"/>
    <w:rsid w:val="006F05E6"/>
    <w:rsid w:val="00722021"/>
    <w:rsid w:val="007A4333"/>
    <w:rsid w:val="007C2F84"/>
    <w:rsid w:val="00A575BA"/>
    <w:rsid w:val="00A90785"/>
    <w:rsid w:val="00AA55B8"/>
    <w:rsid w:val="00C90648"/>
    <w:rsid w:val="00D57FAB"/>
    <w:rsid w:val="00EB7EDD"/>
    <w:rsid w:val="00F73597"/>
    <w:rsid w:val="00FA0A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6C242D-3446-4DB5-8346-C5F620DE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021"/>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722021"/>
    <w:rPr>
      <w:i/>
      <w:iCs/>
    </w:rPr>
  </w:style>
  <w:style w:type="paragraph" w:styleId="ListParagraph">
    <w:name w:val="List Paragraph"/>
    <w:basedOn w:val="Normal"/>
    <w:uiPriority w:val="34"/>
    <w:qFormat/>
    <w:rsid w:val="00722021"/>
    <w:pPr>
      <w:spacing w:before="100" w:beforeAutospacing="1" w:after="100" w:afterAutospacing="1"/>
    </w:pPr>
    <w:rPr>
      <w:rFonts w:eastAsia="Times New Roman"/>
      <w:szCs w:val="24"/>
      <w:lang w:eastAsia="lv-LV"/>
    </w:rPr>
  </w:style>
  <w:style w:type="paragraph" w:customStyle="1" w:styleId="tv213">
    <w:name w:val="tv213"/>
    <w:basedOn w:val="Normal"/>
    <w:rsid w:val="00722021"/>
    <w:pPr>
      <w:spacing w:before="100" w:beforeAutospacing="1" w:after="100" w:afterAutospacing="1"/>
    </w:pPr>
    <w:rPr>
      <w:rFonts w:eastAsia="Times New Roman"/>
      <w:szCs w:val="24"/>
      <w:lang w:eastAsia="lv-LV"/>
    </w:rPr>
  </w:style>
  <w:style w:type="paragraph" w:customStyle="1" w:styleId="labojumupamats">
    <w:name w:val="labojumu_pamats"/>
    <w:basedOn w:val="Normal"/>
    <w:rsid w:val="00722021"/>
    <w:pPr>
      <w:spacing w:before="100" w:beforeAutospacing="1" w:after="100" w:afterAutospacing="1"/>
    </w:pPr>
    <w:rPr>
      <w:rFonts w:eastAsia="Times New Roman"/>
      <w:szCs w:val="24"/>
      <w:lang w:eastAsia="lv-LV"/>
    </w:rPr>
  </w:style>
  <w:style w:type="character" w:styleId="Hyperlink">
    <w:name w:val="Hyperlink"/>
    <w:basedOn w:val="DefaultParagraphFont"/>
    <w:uiPriority w:val="99"/>
    <w:semiHidden/>
    <w:unhideWhenUsed/>
    <w:rsid w:val="0034236F"/>
    <w:rPr>
      <w:color w:val="0000FF"/>
      <w:u w:val="single"/>
    </w:rPr>
  </w:style>
  <w:style w:type="paragraph" w:styleId="Header">
    <w:name w:val="header"/>
    <w:basedOn w:val="Normal"/>
    <w:link w:val="HeaderChar"/>
    <w:uiPriority w:val="99"/>
    <w:unhideWhenUsed/>
    <w:rsid w:val="0034236F"/>
    <w:pPr>
      <w:tabs>
        <w:tab w:val="center" w:pos="4153"/>
        <w:tab w:val="right" w:pos="8306"/>
      </w:tabs>
    </w:pPr>
  </w:style>
  <w:style w:type="character" w:customStyle="1" w:styleId="HeaderChar">
    <w:name w:val="Header Char"/>
    <w:basedOn w:val="DefaultParagraphFont"/>
    <w:link w:val="Header"/>
    <w:uiPriority w:val="99"/>
    <w:rsid w:val="0034236F"/>
    <w:rPr>
      <w:rFonts w:ascii="Times New Roman" w:eastAsia="Calibri" w:hAnsi="Times New Roman" w:cs="Times New Roman"/>
      <w:sz w:val="24"/>
    </w:rPr>
  </w:style>
  <w:style w:type="paragraph" w:styleId="Footer">
    <w:name w:val="footer"/>
    <w:basedOn w:val="Normal"/>
    <w:link w:val="FooterChar"/>
    <w:uiPriority w:val="99"/>
    <w:unhideWhenUsed/>
    <w:rsid w:val="0034236F"/>
    <w:pPr>
      <w:tabs>
        <w:tab w:val="center" w:pos="4153"/>
        <w:tab w:val="right" w:pos="8306"/>
      </w:tabs>
    </w:pPr>
  </w:style>
  <w:style w:type="character" w:customStyle="1" w:styleId="FooterChar">
    <w:name w:val="Footer Char"/>
    <w:basedOn w:val="DefaultParagraphFont"/>
    <w:link w:val="Footer"/>
    <w:uiPriority w:val="99"/>
    <w:rsid w:val="0034236F"/>
    <w:rPr>
      <w:rFonts w:ascii="Times New Roman" w:eastAsia="Calibri" w:hAnsi="Times New Roman" w:cs="Times New Roman"/>
      <w:sz w:val="24"/>
    </w:rPr>
  </w:style>
  <w:style w:type="paragraph" w:styleId="EndnoteText">
    <w:name w:val="endnote text"/>
    <w:basedOn w:val="Normal"/>
    <w:link w:val="EndnoteTextChar"/>
    <w:uiPriority w:val="99"/>
    <w:semiHidden/>
    <w:unhideWhenUsed/>
    <w:rsid w:val="00693415"/>
    <w:rPr>
      <w:sz w:val="20"/>
      <w:szCs w:val="20"/>
    </w:rPr>
  </w:style>
  <w:style w:type="character" w:customStyle="1" w:styleId="EndnoteTextChar">
    <w:name w:val="Endnote Text Char"/>
    <w:basedOn w:val="DefaultParagraphFont"/>
    <w:link w:val="EndnoteText"/>
    <w:uiPriority w:val="99"/>
    <w:semiHidden/>
    <w:rsid w:val="00693415"/>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693415"/>
    <w:rPr>
      <w:vertAlign w:val="superscript"/>
    </w:rPr>
  </w:style>
  <w:style w:type="character" w:customStyle="1" w:styleId="fontsize2">
    <w:name w:val="fontsize2"/>
    <w:basedOn w:val="DefaultParagraphFont"/>
    <w:rsid w:val="00A575BA"/>
  </w:style>
  <w:style w:type="character" w:styleId="FootnoteReference">
    <w:name w:val="footnote reference"/>
    <w:basedOn w:val="DefaultParagraphFont"/>
    <w:uiPriority w:val="99"/>
    <w:semiHidden/>
    <w:unhideWhenUsed/>
    <w:rsid w:val="00A575BA"/>
    <w:rPr>
      <w:vertAlign w:val="superscript"/>
    </w:rPr>
  </w:style>
  <w:style w:type="paragraph" w:styleId="NoSpacing">
    <w:name w:val="No Spacing"/>
    <w:uiPriority w:val="1"/>
    <w:qFormat/>
    <w:rsid w:val="00A575BA"/>
    <w:pPr>
      <w:spacing w:after="0" w:line="240" w:lineRule="auto"/>
    </w:pPr>
  </w:style>
  <w:style w:type="paragraph" w:styleId="BalloonText">
    <w:name w:val="Balloon Text"/>
    <w:basedOn w:val="Normal"/>
    <w:link w:val="BalloonTextChar"/>
    <w:uiPriority w:val="99"/>
    <w:semiHidden/>
    <w:unhideWhenUsed/>
    <w:rsid w:val="00EB7E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ED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80324">
      <w:bodyDiv w:val="1"/>
      <w:marLeft w:val="0"/>
      <w:marRight w:val="0"/>
      <w:marTop w:val="0"/>
      <w:marBottom w:val="0"/>
      <w:divBdr>
        <w:top w:val="none" w:sz="0" w:space="0" w:color="auto"/>
        <w:left w:val="none" w:sz="0" w:space="0" w:color="auto"/>
        <w:bottom w:val="none" w:sz="0" w:space="0" w:color="auto"/>
        <w:right w:val="none" w:sz="0" w:space="0" w:color="auto"/>
      </w:divBdr>
    </w:div>
    <w:div w:id="358555282">
      <w:bodyDiv w:val="1"/>
      <w:marLeft w:val="0"/>
      <w:marRight w:val="0"/>
      <w:marTop w:val="0"/>
      <w:marBottom w:val="0"/>
      <w:divBdr>
        <w:top w:val="none" w:sz="0" w:space="0" w:color="auto"/>
        <w:left w:val="none" w:sz="0" w:space="0" w:color="auto"/>
        <w:bottom w:val="none" w:sz="0" w:space="0" w:color="auto"/>
        <w:right w:val="none" w:sz="0" w:space="0" w:color="auto"/>
      </w:divBdr>
    </w:div>
    <w:div w:id="515850990">
      <w:bodyDiv w:val="1"/>
      <w:marLeft w:val="0"/>
      <w:marRight w:val="0"/>
      <w:marTop w:val="0"/>
      <w:marBottom w:val="0"/>
      <w:divBdr>
        <w:top w:val="none" w:sz="0" w:space="0" w:color="auto"/>
        <w:left w:val="none" w:sz="0" w:space="0" w:color="auto"/>
        <w:bottom w:val="none" w:sz="0" w:space="0" w:color="auto"/>
        <w:right w:val="none" w:sz="0" w:space="0" w:color="auto"/>
      </w:divBdr>
    </w:div>
    <w:div w:id="672494824">
      <w:bodyDiv w:val="1"/>
      <w:marLeft w:val="0"/>
      <w:marRight w:val="0"/>
      <w:marTop w:val="0"/>
      <w:marBottom w:val="0"/>
      <w:divBdr>
        <w:top w:val="none" w:sz="0" w:space="0" w:color="auto"/>
        <w:left w:val="none" w:sz="0" w:space="0" w:color="auto"/>
        <w:bottom w:val="none" w:sz="0" w:space="0" w:color="auto"/>
        <w:right w:val="none" w:sz="0" w:space="0" w:color="auto"/>
      </w:divBdr>
    </w:div>
    <w:div w:id="680283389">
      <w:bodyDiv w:val="1"/>
      <w:marLeft w:val="0"/>
      <w:marRight w:val="0"/>
      <w:marTop w:val="0"/>
      <w:marBottom w:val="0"/>
      <w:divBdr>
        <w:top w:val="none" w:sz="0" w:space="0" w:color="auto"/>
        <w:left w:val="none" w:sz="0" w:space="0" w:color="auto"/>
        <w:bottom w:val="none" w:sz="0" w:space="0" w:color="auto"/>
        <w:right w:val="none" w:sz="0" w:space="0" w:color="auto"/>
      </w:divBdr>
    </w:div>
    <w:div w:id="768745090">
      <w:bodyDiv w:val="1"/>
      <w:marLeft w:val="0"/>
      <w:marRight w:val="0"/>
      <w:marTop w:val="0"/>
      <w:marBottom w:val="0"/>
      <w:divBdr>
        <w:top w:val="none" w:sz="0" w:space="0" w:color="auto"/>
        <w:left w:val="none" w:sz="0" w:space="0" w:color="auto"/>
        <w:bottom w:val="none" w:sz="0" w:space="0" w:color="auto"/>
        <w:right w:val="none" w:sz="0" w:space="0" w:color="auto"/>
      </w:divBdr>
    </w:div>
    <w:div w:id="802886706">
      <w:bodyDiv w:val="1"/>
      <w:marLeft w:val="0"/>
      <w:marRight w:val="0"/>
      <w:marTop w:val="0"/>
      <w:marBottom w:val="0"/>
      <w:divBdr>
        <w:top w:val="none" w:sz="0" w:space="0" w:color="auto"/>
        <w:left w:val="none" w:sz="0" w:space="0" w:color="auto"/>
        <w:bottom w:val="none" w:sz="0" w:space="0" w:color="auto"/>
        <w:right w:val="none" w:sz="0" w:space="0" w:color="auto"/>
      </w:divBdr>
    </w:div>
    <w:div w:id="854928147">
      <w:bodyDiv w:val="1"/>
      <w:marLeft w:val="0"/>
      <w:marRight w:val="0"/>
      <w:marTop w:val="0"/>
      <w:marBottom w:val="0"/>
      <w:divBdr>
        <w:top w:val="none" w:sz="0" w:space="0" w:color="auto"/>
        <w:left w:val="none" w:sz="0" w:space="0" w:color="auto"/>
        <w:bottom w:val="none" w:sz="0" w:space="0" w:color="auto"/>
        <w:right w:val="none" w:sz="0" w:space="0" w:color="auto"/>
      </w:divBdr>
    </w:div>
    <w:div w:id="912423838">
      <w:bodyDiv w:val="1"/>
      <w:marLeft w:val="0"/>
      <w:marRight w:val="0"/>
      <w:marTop w:val="0"/>
      <w:marBottom w:val="0"/>
      <w:divBdr>
        <w:top w:val="none" w:sz="0" w:space="0" w:color="auto"/>
        <w:left w:val="none" w:sz="0" w:space="0" w:color="auto"/>
        <w:bottom w:val="none" w:sz="0" w:space="0" w:color="auto"/>
        <w:right w:val="none" w:sz="0" w:space="0" w:color="auto"/>
      </w:divBdr>
    </w:div>
    <w:div w:id="924388177">
      <w:bodyDiv w:val="1"/>
      <w:marLeft w:val="0"/>
      <w:marRight w:val="0"/>
      <w:marTop w:val="0"/>
      <w:marBottom w:val="0"/>
      <w:divBdr>
        <w:top w:val="none" w:sz="0" w:space="0" w:color="auto"/>
        <w:left w:val="none" w:sz="0" w:space="0" w:color="auto"/>
        <w:bottom w:val="none" w:sz="0" w:space="0" w:color="auto"/>
        <w:right w:val="none" w:sz="0" w:space="0" w:color="auto"/>
      </w:divBdr>
    </w:div>
    <w:div w:id="1023822495">
      <w:bodyDiv w:val="1"/>
      <w:marLeft w:val="0"/>
      <w:marRight w:val="0"/>
      <w:marTop w:val="0"/>
      <w:marBottom w:val="0"/>
      <w:divBdr>
        <w:top w:val="none" w:sz="0" w:space="0" w:color="auto"/>
        <w:left w:val="none" w:sz="0" w:space="0" w:color="auto"/>
        <w:bottom w:val="none" w:sz="0" w:space="0" w:color="auto"/>
        <w:right w:val="none" w:sz="0" w:space="0" w:color="auto"/>
      </w:divBdr>
    </w:div>
    <w:div w:id="1240824308">
      <w:bodyDiv w:val="1"/>
      <w:marLeft w:val="0"/>
      <w:marRight w:val="0"/>
      <w:marTop w:val="0"/>
      <w:marBottom w:val="0"/>
      <w:divBdr>
        <w:top w:val="none" w:sz="0" w:space="0" w:color="auto"/>
        <w:left w:val="none" w:sz="0" w:space="0" w:color="auto"/>
        <w:bottom w:val="none" w:sz="0" w:space="0" w:color="auto"/>
        <w:right w:val="none" w:sz="0" w:space="0" w:color="auto"/>
      </w:divBdr>
    </w:div>
    <w:div w:id="1366517902">
      <w:bodyDiv w:val="1"/>
      <w:marLeft w:val="0"/>
      <w:marRight w:val="0"/>
      <w:marTop w:val="0"/>
      <w:marBottom w:val="0"/>
      <w:divBdr>
        <w:top w:val="none" w:sz="0" w:space="0" w:color="auto"/>
        <w:left w:val="none" w:sz="0" w:space="0" w:color="auto"/>
        <w:bottom w:val="none" w:sz="0" w:space="0" w:color="auto"/>
        <w:right w:val="none" w:sz="0" w:space="0" w:color="auto"/>
      </w:divBdr>
    </w:div>
    <w:div w:id="1481193856">
      <w:bodyDiv w:val="1"/>
      <w:marLeft w:val="0"/>
      <w:marRight w:val="0"/>
      <w:marTop w:val="0"/>
      <w:marBottom w:val="0"/>
      <w:divBdr>
        <w:top w:val="none" w:sz="0" w:space="0" w:color="auto"/>
        <w:left w:val="none" w:sz="0" w:space="0" w:color="auto"/>
        <w:bottom w:val="none" w:sz="0" w:space="0" w:color="auto"/>
        <w:right w:val="none" w:sz="0" w:space="0" w:color="auto"/>
      </w:divBdr>
    </w:div>
    <w:div w:id="1568416220">
      <w:bodyDiv w:val="1"/>
      <w:marLeft w:val="0"/>
      <w:marRight w:val="0"/>
      <w:marTop w:val="0"/>
      <w:marBottom w:val="0"/>
      <w:divBdr>
        <w:top w:val="none" w:sz="0" w:space="0" w:color="auto"/>
        <w:left w:val="none" w:sz="0" w:space="0" w:color="auto"/>
        <w:bottom w:val="none" w:sz="0" w:space="0" w:color="auto"/>
        <w:right w:val="none" w:sz="0" w:space="0" w:color="auto"/>
      </w:divBdr>
    </w:div>
    <w:div w:id="1780487595">
      <w:bodyDiv w:val="1"/>
      <w:marLeft w:val="0"/>
      <w:marRight w:val="0"/>
      <w:marTop w:val="0"/>
      <w:marBottom w:val="0"/>
      <w:divBdr>
        <w:top w:val="none" w:sz="0" w:space="0" w:color="auto"/>
        <w:left w:val="none" w:sz="0" w:space="0" w:color="auto"/>
        <w:bottom w:val="none" w:sz="0" w:space="0" w:color="auto"/>
        <w:right w:val="none" w:sz="0" w:space="0" w:color="auto"/>
      </w:divBdr>
    </w:div>
    <w:div w:id="1908880398">
      <w:bodyDiv w:val="1"/>
      <w:marLeft w:val="0"/>
      <w:marRight w:val="0"/>
      <w:marTop w:val="0"/>
      <w:marBottom w:val="0"/>
      <w:divBdr>
        <w:top w:val="none" w:sz="0" w:space="0" w:color="auto"/>
        <w:left w:val="none" w:sz="0" w:space="0" w:color="auto"/>
        <w:bottom w:val="none" w:sz="0" w:space="0" w:color="auto"/>
        <w:right w:val="none" w:sz="0" w:space="0" w:color="auto"/>
      </w:divBdr>
    </w:div>
    <w:div w:id="214191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4402E-BBEA-40E0-8B69-E270B1830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20606</Words>
  <Characters>11746</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Grozījumi likumā “Par nodokļiem un nodevām”</vt:lpstr>
    </vt:vector>
  </TitlesOfParts>
  <Company>Hewlett-Packard Company</Company>
  <LinksUpToDate>false</LinksUpToDate>
  <CharactersWithSpaces>32288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likumā “Par nodokļiem un nodevām”</dc:title>
  <dc:subject>Saeimas priekšlikumu tabula</dc:subject>
  <dc:creator>Daina Robežniece</dc:creator>
  <cp:keywords/>
  <dc:description>Robežniece 67095495
daina.robezniece@fm.gov.Iv</dc:description>
  <cp:lastModifiedBy>Gunta Puidīte</cp:lastModifiedBy>
  <cp:revision>5</cp:revision>
  <cp:lastPrinted>2017-07-24T17:43:00Z</cp:lastPrinted>
  <dcterms:created xsi:type="dcterms:W3CDTF">2017-07-24T18:40:00Z</dcterms:created>
  <dcterms:modified xsi:type="dcterms:W3CDTF">2017-07-25T07:02:00Z</dcterms:modified>
  <cp:category>FM</cp:category>
</cp:coreProperties>
</file>